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12E68">
      <w:pPr>
        <w:snapToGrid w:val="0"/>
        <w:spacing w:line="360" w:lineRule="auto"/>
        <w:textAlignment w:val="baseline"/>
        <w:outlineLvl w:val="2"/>
        <w:rPr>
          <w:b/>
          <w:bCs/>
          <w:sz w:val="24"/>
          <w:szCs w:val="24"/>
          <w:highlight w:val="none"/>
          <w:lang w:eastAsia="zh-CN"/>
        </w:rPr>
      </w:pPr>
      <w:bookmarkStart w:id="1" w:name="_GoBack"/>
      <w:bookmarkEnd w:id="1"/>
      <w:bookmarkStart w:id="0" w:name="_Toc7171"/>
      <w:r>
        <w:rPr>
          <w:rFonts w:hint="eastAsia" w:ascii="宋体" w:hAnsi="宋体"/>
          <w:b/>
          <w:bCs/>
          <w:sz w:val="24"/>
          <w:szCs w:val="24"/>
          <w:highlight w:val="none"/>
          <w:lang w:eastAsia="zh-CN"/>
        </w:rPr>
        <w:t>附件</w:t>
      </w:r>
      <w:r>
        <w:rPr>
          <w:rFonts w:ascii="宋体" w:hAnsi="宋体"/>
          <w:b/>
          <w:bCs/>
          <w:sz w:val="24"/>
          <w:szCs w:val="24"/>
          <w:highlight w:val="none"/>
          <w:lang w:eastAsia="zh-CN"/>
        </w:rPr>
        <w:t>1</w:t>
      </w:r>
      <w:r>
        <w:rPr>
          <w:rFonts w:hint="eastAsia" w:ascii="宋体" w:hAnsi="宋体"/>
          <w:b/>
          <w:bCs/>
          <w:sz w:val="24"/>
          <w:szCs w:val="24"/>
          <w:highlight w:val="none"/>
          <w:lang w:eastAsia="zh-CN"/>
        </w:rPr>
        <w:t>：资格审查条件</w:t>
      </w:r>
      <w:bookmarkEnd w:id="0"/>
    </w:p>
    <w:p w14:paraId="2914697D">
      <w:pPr>
        <w:jc w:val="center"/>
        <w:rPr>
          <w:rFonts w:hint="eastAsia" w:ascii="宋体" w:hAnsi="宋体"/>
          <w:b/>
          <w:sz w:val="24"/>
          <w:szCs w:val="24"/>
          <w:highlight w:val="none"/>
          <w:lang w:eastAsia="zh-CN"/>
        </w:rPr>
      </w:pPr>
    </w:p>
    <w:p w14:paraId="4A16D984">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附录1资格审查条件（资质最低要求）</w:t>
      </w:r>
    </w:p>
    <w:tbl>
      <w:tblPr>
        <w:tblStyle w:val="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BD2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noWrap w:val="0"/>
            <w:vAlign w:val="center"/>
          </w:tcPr>
          <w:p w14:paraId="385A7098">
            <w:pPr>
              <w:jc w:val="center"/>
              <w:rPr>
                <w:rFonts w:hint="eastAsia" w:ascii="宋体" w:hAnsi="宋体" w:eastAsia="宋体"/>
                <w:sz w:val="21"/>
                <w:szCs w:val="24"/>
                <w:highlight w:val="none"/>
                <w:lang w:eastAsia="zh-CN"/>
              </w:rPr>
            </w:pPr>
            <w:r>
              <w:rPr>
                <w:rFonts w:hint="eastAsia" w:ascii="宋体" w:hAnsi="宋体"/>
                <w:sz w:val="21"/>
                <w:szCs w:val="24"/>
                <w:highlight w:val="none"/>
              </w:rPr>
              <w:t>资质要求</w:t>
            </w:r>
          </w:p>
        </w:tc>
      </w:tr>
      <w:tr w14:paraId="7815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642" w:type="dxa"/>
            <w:noWrap w:val="0"/>
            <w:vAlign w:val="center"/>
          </w:tcPr>
          <w:p w14:paraId="0EDBE67E">
            <w:pPr>
              <w:numPr>
                <w:ilvl w:val="0"/>
                <w:numId w:val="0"/>
              </w:numPr>
              <w:tabs>
                <w:tab w:val="left" w:pos="312"/>
              </w:tabs>
              <w:snapToGrid/>
              <w:spacing w:line="360" w:lineRule="exact"/>
              <w:ind w:firstLine="420" w:firstLineChars="200"/>
              <w:rPr>
                <w:rFonts w:hint="default" w:ascii="宋体" w:hAnsi="宋体"/>
                <w:sz w:val="21"/>
                <w:szCs w:val="24"/>
                <w:highlight w:val="none"/>
                <w:lang w:val="en-US" w:eastAsia="zh-CN"/>
              </w:rPr>
            </w:pPr>
            <w:r>
              <w:rPr>
                <w:rFonts w:hint="default" w:ascii="宋体" w:hAnsi="宋体" w:eastAsia="宋体" w:cs="宋体"/>
                <w:sz w:val="21"/>
                <w:szCs w:val="24"/>
                <w:highlight w:val="none"/>
                <w:lang w:val="en-US" w:eastAsia="zh-CN" w:bidi="ar-SA"/>
              </w:rPr>
              <w:t>1</w:t>
            </w:r>
            <w:r>
              <w:rPr>
                <w:rFonts w:hint="eastAsia" w:ascii="宋体" w:hAnsi="宋体" w:cs="宋体"/>
                <w:sz w:val="21"/>
                <w:szCs w:val="24"/>
                <w:highlight w:val="none"/>
                <w:lang w:val="en-US" w:eastAsia="zh-CN" w:bidi="ar-SA"/>
              </w:rPr>
              <w:t>、</w:t>
            </w:r>
            <w:r>
              <w:rPr>
                <w:rFonts w:hint="eastAsia" w:ascii="宋体" w:hAnsi="宋体"/>
                <w:sz w:val="21"/>
                <w:szCs w:val="24"/>
                <w:highlight w:val="none"/>
                <w:lang w:eastAsia="zh-CN"/>
              </w:rPr>
              <w:t>投标人应是中华人民共和国境内的法人或其他组织，持有有效的营业执照</w:t>
            </w:r>
            <w:r>
              <w:rPr>
                <w:rFonts w:hint="eastAsia" w:ascii="宋体" w:hAnsi="宋体"/>
                <w:sz w:val="21"/>
                <w:szCs w:val="24"/>
                <w:highlight w:val="none"/>
                <w:lang w:val="en-US" w:eastAsia="zh-CN"/>
              </w:rPr>
              <w:t>。</w:t>
            </w:r>
          </w:p>
          <w:p w14:paraId="7057EAD8">
            <w:pPr>
              <w:numPr>
                <w:ilvl w:val="0"/>
                <w:numId w:val="0"/>
              </w:numPr>
              <w:snapToGrid/>
              <w:spacing w:line="360" w:lineRule="exact"/>
              <w:ind w:firstLine="420" w:firstLineChars="200"/>
              <w:rPr>
                <w:rFonts w:hint="eastAsia" w:ascii="宋体" w:hAnsi="宋体"/>
                <w:sz w:val="21"/>
                <w:szCs w:val="24"/>
                <w:highlight w:val="none"/>
                <w:lang w:val="en-US" w:eastAsia="zh-CN"/>
              </w:rPr>
            </w:pPr>
            <w:r>
              <w:rPr>
                <w:rFonts w:hint="eastAsia" w:ascii="宋体" w:hAnsi="宋体" w:cs="宋体"/>
                <w:sz w:val="21"/>
                <w:szCs w:val="24"/>
                <w:highlight w:val="none"/>
                <w:lang w:val="en-US" w:eastAsia="zh-CN" w:bidi="ar-SA"/>
              </w:rPr>
              <w:t>2、</w:t>
            </w:r>
            <w:r>
              <w:rPr>
                <w:rFonts w:hint="eastAsia" w:ascii="宋体" w:hAnsi="宋体"/>
                <w:sz w:val="21"/>
                <w:szCs w:val="24"/>
                <w:highlight w:val="none"/>
                <w:lang w:val="en-US" w:eastAsia="zh-CN"/>
              </w:rPr>
              <w:t>设计资质：</w:t>
            </w:r>
          </w:p>
          <w:p w14:paraId="7C62B362">
            <w:pPr>
              <w:numPr>
                <w:ilvl w:val="0"/>
                <w:numId w:val="0"/>
              </w:numPr>
              <w:snapToGrid/>
              <w:spacing w:line="360" w:lineRule="exact"/>
              <w:ind w:firstLine="420" w:firstLineChars="200"/>
              <w:rPr>
                <w:rFonts w:hint="eastAsia" w:ascii="宋体" w:hAnsi="宋体"/>
                <w:sz w:val="21"/>
                <w:szCs w:val="24"/>
                <w:highlight w:val="none"/>
                <w:lang w:val="en-US" w:eastAsia="zh-CN"/>
              </w:rPr>
            </w:pPr>
            <w:r>
              <w:rPr>
                <w:rFonts w:hint="eastAsia" w:ascii="宋体" w:hAnsi="宋体"/>
                <w:sz w:val="21"/>
                <w:szCs w:val="24"/>
                <w:highlight w:val="none"/>
                <w:lang w:val="en-US" w:eastAsia="zh-CN"/>
              </w:rPr>
              <w:t>（1）具备建筑装饰工程设计专项乙级及以上资质，或工程设计建筑行业（建筑工程）乙级及以上资质；</w:t>
            </w:r>
          </w:p>
          <w:p w14:paraId="4E1602C2">
            <w:pPr>
              <w:numPr>
                <w:ilvl w:val="0"/>
                <w:numId w:val="0"/>
              </w:numPr>
              <w:snapToGrid/>
              <w:spacing w:line="360" w:lineRule="exact"/>
              <w:ind w:firstLine="420" w:firstLineChars="200"/>
              <w:rPr>
                <w:rFonts w:hint="eastAsia" w:ascii="宋体" w:hAnsi="宋体"/>
                <w:sz w:val="21"/>
                <w:szCs w:val="24"/>
                <w:highlight w:val="none"/>
                <w:lang w:val="en-US" w:eastAsia="zh-CN"/>
              </w:rPr>
            </w:pPr>
            <w:r>
              <w:rPr>
                <w:rFonts w:hint="eastAsia" w:ascii="宋体" w:hAnsi="宋体" w:cs="宋体"/>
                <w:sz w:val="21"/>
                <w:szCs w:val="24"/>
                <w:highlight w:val="none"/>
                <w:lang w:val="en-US" w:eastAsia="zh-CN" w:bidi="ar-SA"/>
              </w:rPr>
              <w:t>3、</w:t>
            </w:r>
            <w:r>
              <w:rPr>
                <w:rFonts w:hint="eastAsia" w:ascii="宋体" w:hAnsi="宋体"/>
                <w:sz w:val="21"/>
                <w:szCs w:val="24"/>
                <w:highlight w:val="none"/>
                <w:lang w:val="en-US" w:eastAsia="zh-CN"/>
              </w:rPr>
              <w:t>施工资质：</w:t>
            </w:r>
          </w:p>
          <w:p w14:paraId="591ECF67">
            <w:pPr>
              <w:numPr>
                <w:ilvl w:val="0"/>
                <w:numId w:val="0"/>
              </w:numPr>
              <w:snapToGrid/>
              <w:spacing w:line="360" w:lineRule="exact"/>
              <w:ind w:firstLine="420" w:firstLineChars="200"/>
              <w:rPr>
                <w:rFonts w:hint="eastAsia" w:ascii="宋体" w:hAnsi="宋体"/>
                <w:sz w:val="21"/>
                <w:szCs w:val="24"/>
                <w:highlight w:val="none"/>
                <w:lang w:val="en-US" w:eastAsia="zh-CN"/>
              </w:rPr>
            </w:pPr>
            <w:r>
              <w:rPr>
                <w:rFonts w:hint="eastAsia" w:ascii="宋体" w:hAnsi="宋体"/>
                <w:sz w:val="21"/>
                <w:szCs w:val="24"/>
                <w:highlight w:val="none"/>
                <w:lang w:val="en-US" w:eastAsia="zh-CN"/>
              </w:rPr>
              <w:t>（1）具备建筑装修装饰工程专业承包贰级及以上资质。</w:t>
            </w:r>
          </w:p>
          <w:p w14:paraId="061D2F01">
            <w:pPr>
              <w:numPr>
                <w:ilvl w:val="0"/>
                <w:numId w:val="0"/>
              </w:numPr>
              <w:snapToGrid/>
              <w:spacing w:line="360" w:lineRule="exact"/>
              <w:ind w:firstLine="420" w:firstLineChars="200"/>
              <w:rPr>
                <w:rFonts w:hint="default" w:ascii="宋体" w:hAnsi="宋体"/>
                <w:sz w:val="21"/>
                <w:szCs w:val="24"/>
                <w:highlight w:val="none"/>
                <w:lang w:val="en-US" w:eastAsia="zh-CN"/>
              </w:rPr>
            </w:pPr>
            <w:r>
              <w:rPr>
                <w:rFonts w:hint="eastAsia" w:ascii="宋体" w:hAnsi="宋体"/>
                <w:sz w:val="21"/>
                <w:szCs w:val="24"/>
                <w:highlight w:val="none"/>
                <w:lang w:val="en-US" w:eastAsia="zh-CN"/>
              </w:rPr>
              <w:t>（2）具有住房和城乡建设行政主管部门颁发的有效的安全生产许可证。</w:t>
            </w:r>
          </w:p>
        </w:tc>
      </w:tr>
      <w:tr w14:paraId="62C7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642" w:type="dxa"/>
            <w:noWrap w:val="0"/>
            <w:vAlign w:val="center"/>
          </w:tcPr>
          <w:p w14:paraId="1A487BD4">
            <w:pPr>
              <w:numPr>
                <w:ilvl w:val="0"/>
                <w:numId w:val="0"/>
              </w:numPr>
              <w:snapToGrid w:val="0"/>
              <w:spacing w:line="360" w:lineRule="exact"/>
              <w:ind w:firstLine="359" w:firstLineChars="171"/>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注：</w:t>
            </w:r>
          </w:p>
          <w:p w14:paraId="3A3681CB">
            <w:pPr>
              <w:numPr>
                <w:ilvl w:val="0"/>
                <w:numId w:val="0"/>
              </w:numPr>
              <w:snapToGrid w:val="0"/>
              <w:spacing w:line="360" w:lineRule="exact"/>
              <w:ind w:firstLine="359" w:firstLineChars="171"/>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（1）以联合体形式投标的投标人须满足以上条件；</w:t>
            </w:r>
          </w:p>
          <w:p w14:paraId="2114CBA3">
            <w:pPr>
              <w:numPr>
                <w:ilvl w:val="0"/>
                <w:numId w:val="0"/>
              </w:numPr>
              <w:snapToGrid w:val="0"/>
              <w:spacing w:line="360" w:lineRule="exact"/>
              <w:ind w:firstLine="359" w:firstLineChars="171"/>
              <w:rPr>
                <w:rFonts w:hint="default" w:ascii="宋体" w:hAnsi="宋体"/>
                <w:sz w:val="21"/>
                <w:szCs w:val="24"/>
                <w:highlight w:val="none"/>
                <w:lang w:val="en-US" w:eastAsia="zh-CN"/>
              </w:rPr>
            </w:pPr>
            <w:r>
              <w:rPr>
                <w:rFonts w:hint="eastAsia" w:ascii="宋体" w:hAnsi="宋体" w:eastAsia="宋体" w:cs="宋体"/>
                <w:sz w:val="21"/>
                <w:szCs w:val="24"/>
                <w:highlight w:val="none"/>
                <w:lang w:val="en-US" w:eastAsia="zh-CN" w:bidi="ar-SA"/>
              </w:rPr>
              <w:t>（2）联合体所有成员（含联合体牵头人）数量不得超过 2 家。</w:t>
            </w:r>
          </w:p>
        </w:tc>
      </w:tr>
    </w:tbl>
    <w:p w14:paraId="389D068B">
      <w:pPr>
        <w:snapToGrid w:val="0"/>
        <w:rPr>
          <w:rFonts w:hint="eastAsia" w:ascii="宋体" w:hAnsi="宋体"/>
          <w:sz w:val="24"/>
          <w:szCs w:val="24"/>
          <w:highlight w:val="none"/>
          <w:lang w:eastAsia="zh-CN"/>
        </w:rPr>
      </w:pPr>
    </w:p>
    <w:p w14:paraId="43E75966">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附录2资格审查条件（业绩最低要求）</w:t>
      </w:r>
    </w:p>
    <w:tbl>
      <w:tblPr>
        <w:tblStyle w:val="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2A6C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noWrap w:val="0"/>
            <w:vAlign w:val="center"/>
          </w:tcPr>
          <w:p w14:paraId="307B4EF8">
            <w:pPr>
              <w:jc w:val="center"/>
              <w:rPr>
                <w:rFonts w:hint="eastAsia" w:ascii="宋体" w:hAnsi="宋体"/>
                <w:sz w:val="21"/>
                <w:szCs w:val="21"/>
                <w:highlight w:val="none"/>
              </w:rPr>
            </w:pPr>
            <w:r>
              <w:rPr>
                <w:rFonts w:hint="eastAsia" w:ascii="宋体" w:hAnsi="宋体"/>
                <w:sz w:val="21"/>
                <w:szCs w:val="21"/>
                <w:highlight w:val="none"/>
              </w:rPr>
              <w:t>业绩要求</w:t>
            </w:r>
          </w:p>
        </w:tc>
      </w:tr>
      <w:tr w14:paraId="1A2D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noWrap w:val="0"/>
            <w:vAlign w:val="center"/>
          </w:tcPr>
          <w:p w14:paraId="41371B77">
            <w:pPr>
              <w:snapToGrid w:val="0"/>
              <w:spacing w:line="36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设计业绩：近5年（2021年4月1日至投标截止时间，以合同签订时间为准）至少承揽过1项展厅或展馆或会展展台或装饰装修工程设计项目。</w:t>
            </w:r>
          </w:p>
          <w:p w14:paraId="51250D44">
            <w:pPr>
              <w:snapToGrid w:val="0"/>
              <w:spacing w:line="360" w:lineRule="exact"/>
              <w:ind w:firstLine="420" w:firstLineChars="200"/>
              <w:rPr>
                <w:rFonts w:hint="default" w:ascii="宋体" w:hAnsi="宋体"/>
                <w:sz w:val="21"/>
                <w:szCs w:val="21"/>
                <w:highlight w:val="none"/>
                <w:lang w:val="en-US" w:eastAsia="zh-CN"/>
              </w:rPr>
            </w:pPr>
            <w:r>
              <w:rPr>
                <w:rFonts w:hint="eastAsia" w:ascii="宋体" w:hAnsi="宋体"/>
                <w:sz w:val="21"/>
                <w:szCs w:val="21"/>
                <w:highlight w:val="none"/>
                <w:lang w:val="en-US" w:eastAsia="zh-CN"/>
              </w:rPr>
              <w:t>施工业绩：近5年（2021年4月1日至投标截止时间，以合同签订时间为准）至少承揽过1项展厅或展馆或会展展台或装饰装修工程施工项目。</w:t>
            </w:r>
          </w:p>
        </w:tc>
      </w:tr>
      <w:tr w14:paraId="5C9B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noWrap w:val="0"/>
            <w:vAlign w:val="center"/>
          </w:tcPr>
          <w:p w14:paraId="5B263BD1">
            <w:pPr>
              <w:snapToGrid w:val="0"/>
              <w:spacing w:line="360" w:lineRule="exact"/>
              <w:ind w:firstLine="422" w:firstLineChars="200"/>
              <w:rPr>
                <w:rFonts w:hint="default" w:ascii="宋体" w:hAnsi="宋体"/>
                <w:b/>
                <w:bCs/>
                <w:sz w:val="21"/>
                <w:szCs w:val="21"/>
                <w:highlight w:val="none"/>
                <w:lang w:val="en-US" w:eastAsia="zh-CN"/>
              </w:rPr>
            </w:pPr>
            <w:r>
              <w:rPr>
                <w:rFonts w:hint="default" w:ascii="宋体" w:hAnsi="宋体"/>
                <w:b/>
                <w:bCs/>
                <w:sz w:val="21"/>
                <w:szCs w:val="21"/>
                <w:highlight w:val="none"/>
                <w:lang w:val="en-US" w:eastAsia="zh-CN"/>
              </w:rPr>
              <w:t>注：</w:t>
            </w:r>
          </w:p>
          <w:p w14:paraId="6A93FAEB">
            <w:pPr>
              <w:snapToGrid w:val="0"/>
              <w:spacing w:line="360" w:lineRule="exact"/>
              <w:ind w:firstLine="422" w:firstLineChars="200"/>
              <w:rPr>
                <w:rFonts w:hint="default" w:ascii="宋体" w:hAnsi="宋体"/>
                <w:b/>
                <w:bCs/>
                <w:sz w:val="21"/>
                <w:szCs w:val="21"/>
                <w:highlight w:val="none"/>
                <w:lang w:val="en-US" w:eastAsia="zh-CN"/>
              </w:rPr>
            </w:pPr>
            <w:r>
              <w:rPr>
                <w:rFonts w:hint="default" w:ascii="宋体" w:hAnsi="宋体"/>
                <w:b/>
                <w:bCs/>
                <w:sz w:val="21"/>
                <w:szCs w:val="21"/>
                <w:highlight w:val="none"/>
                <w:lang w:val="en-US" w:eastAsia="zh-CN"/>
              </w:rPr>
              <w:t>（1）设计业绩包括单独设计业绩或设计施工总承包中相应设计业绩</w:t>
            </w:r>
            <w:r>
              <w:rPr>
                <w:rFonts w:hint="eastAsia" w:ascii="宋体" w:hAnsi="宋体"/>
                <w:b/>
                <w:bCs/>
                <w:sz w:val="21"/>
                <w:szCs w:val="21"/>
                <w:highlight w:val="none"/>
                <w:lang w:val="en-US" w:eastAsia="zh-CN"/>
              </w:rPr>
              <w:t>；</w:t>
            </w:r>
          </w:p>
          <w:p w14:paraId="36DBD449">
            <w:pPr>
              <w:snapToGrid w:val="0"/>
              <w:spacing w:line="360" w:lineRule="exact"/>
              <w:ind w:firstLine="422" w:firstLineChars="200"/>
              <w:rPr>
                <w:rFonts w:hint="default" w:ascii="宋体" w:hAnsi="宋体"/>
                <w:b/>
                <w:bCs/>
                <w:sz w:val="21"/>
                <w:szCs w:val="21"/>
                <w:highlight w:val="none"/>
                <w:lang w:val="en-US" w:eastAsia="zh-CN"/>
              </w:rPr>
            </w:pPr>
            <w:r>
              <w:rPr>
                <w:rFonts w:hint="default" w:ascii="宋体" w:hAnsi="宋体"/>
                <w:b/>
                <w:bCs/>
                <w:sz w:val="21"/>
                <w:szCs w:val="21"/>
                <w:highlight w:val="none"/>
                <w:lang w:val="en-US" w:eastAsia="zh-CN"/>
              </w:rPr>
              <w:t>（2）施工业绩包括单独施工业绩或设计施工总承包中相应施工业绩</w:t>
            </w:r>
            <w:r>
              <w:rPr>
                <w:rFonts w:hint="eastAsia" w:ascii="宋体" w:hAnsi="宋体"/>
                <w:b/>
                <w:bCs/>
                <w:sz w:val="21"/>
                <w:szCs w:val="21"/>
                <w:highlight w:val="none"/>
                <w:lang w:val="en-US" w:eastAsia="zh-CN"/>
              </w:rPr>
              <w:t>；</w:t>
            </w:r>
          </w:p>
          <w:p w14:paraId="41DAB64F">
            <w:pPr>
              <w:snapToGrid w:val="0"/>
              <w:spacing w:line="360" w:lineRule="exact"/>
              <w:ind w:firstLine="422" w:firstLineChars="200"/>
              <w:rPr>
                <w:rFonts w:hint="default" w:ascii="宋体" w:hAnsi="宋体"/>
                <w:sz w:val="21"/>
                <w:szCs w:val="21"/>
                <w:highlight w:val="none"/>
                <w:lang w:val="en-US" w:eastAsia="zh-CN"/>
              </w:rPr>
            </w:pPr>
            <w:r>
              <w:rPr>
                <w:rFonts w:hint="default" w:ascii="宋体" w:hAnsi="宋体"/>
                <w:b/>
                <w:bCs/>
                <w:sz w:val="21"/>
                <w:szCs w:val="21"/>
                <w:highlight w:val="none"/>
                <w:lang w:val="en-US" w:eastAsia="zh-CN"/>
              </w:rPr>
              <w:t>（3）以联合体形式投标的，联合体应满足本项规定的资格条件。</w:t>
            </w:r>
          </w:p>
        </w:tc>
      </w:tr>
    </w:tbl>
    <w:p w14:paraId="3E8AB9DB">
      <w:pPr>
        <w:snapToGrid w:val="0"/>
        <w:rPr>
          <w:rFonts w:hint="eastAsia" w:ascii="宋体" w:hAnsi="宋体"/>
          <w:sz w:val="24"/>
          <w:szCs w:val="24"/>
          <w:highlight w:val="none"/>
          <w:lang w:eastAsia="zh-CN"/>
        </w:rPr>
      </w:pPr>
    </w:p>
    <w:p w14:paraId="6B8D5B5F">
      <w:pPr>
        <w:pStyle w:val="15"/>
        <w:snapToGrid w:val="0"/>
        <w:spacing w:line="240" w:lineRule="auto"/>
        <w:ind w:firstLine="640"/>
        <w:rPr>
          <w:highlight w:val="none"/>
          <w:lang w:eastAsia="zh-CN"/>
        </w:rPr>
      </w:pPr>
    </w:p>
    <w:p w14:paraId="2F7F7766">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附录3资格审查条件（信誉最低要求）</w:t>
      </w:r>
    </w:p>
    <w:tbl>
      <w:tblPr>
        <w:tblStyle w:val="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410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noWrap w:val="0"/>
            <w:vAlign w:val="center"/>
          </w:tcPr>
          <w:p w14:paraId="70E20A2F">
            <w:pPr>
              <w:jc w:val="center"/>
              <w:rPr>
                <w:rFonts w:hint="eastAsia" w:ascii="宋体" w:hAnsi="宋体"/>
                <w:sz w:val="21"/>
                <w:szCs w:val="21"/>
                <w:highlight w:val="none"/>
              </w:rPr>
            </w:pPr>
            <w:r>
              <w:rPr>
                <w:rFonts w:hint="eastAsia" w:ascii="宋体" w:hAnsi="宋体"/>
                <w:sz w:val="21"/>
                <w:szCs w:val="21"/>
                <w:highlight w:val="none"/>
              </w:rPr>
              <w:t>信誉要求</w:t>
            </w:r>
          </w:p>
        </w:tc>
      </w:tr>
      <w:tr w14:paraId="5B42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noWrap w:val="0"/>
            <w:vAlign w:val="center"/>
          </w:tcPr>
          <w:p w14:paraId="61D5B8F8">
            <w:pPr>
              <w:snapToGrid w:val="0"/>
              <w:spacing w:line="36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投标人在过去1年中（2025年4月1日至投标截止时间）不曾在</w:t>
            </w:r>
            <w:r>
              <w:rPr>
                <w:rFonts w:hint="eastAsia" w:ascii="宋体" w:hAnsi="宋体"/>
                <w:sz w:val="21"/>
                <w:szCs w:val="21"/>
                <w:highlight w:val="none"/>
                <w:lang w:val="en-US" w:eastAsia="zh-CN"/>
              </w:rPr>
              <w:t>展厅设计或布展</w:t>
            </w:r>
            <w:r>
              <w:rPr>
                <w:rFonts w:hint="eastAsia" w:ascii="宋体" w:hAnsi="宋体"/>
                <w:sz w:val="21"/>
                <w:szCs w:val="21"/>
                <w:highlight w:val="none"/>
                <w:lang w:eastAsia="zh-CN"/>
              </w:rPr>
              <w:t>合同中违约而被逐或因投标人自身的原因而使合同被解除。</w:t>
            </w:r>
          </w:p>
        </w:tc>
      </w:tr>
    </w:tbl>
    <w:p w14:paraId="04CED1B2">
      <w:pPr>
        <w:snapToGrid w:val="0"/>
        <w:rPr>
          <w:rFonts w:hint="eastAsia" w:ascii="宋体" w:hAnsi="宋体"/>
          <w:sz w:val="24"/>
          <w:szCs w:val="24"/>
          <w:highlight w:val="none"/>
          <w:lang w:eastAsia="zh-CN"/>
        </w:rPr>
      </w:pPr>
    </w:p>
    <w:p w14:paraId="4C07B6E0">
      <w:pPr>
        <w:pStyle w:val="15"/>
        <w:snapToGrid w:val="0"/>
        <w:spacing w:line="240" w:lineRule="auto"/>
        <w:ind w:firstLine="640"/>
        <w:rPr>
          <w:highlight w:val="none"/>
          <w:lang w:eastAsia="zh-CN"/>
        </w:rPr>
      </w:pPr>
    </w:p>
    <w:p w14:paraId="6004F9A8">
      <w:pPr>
        <w:pStyle w:val="4"/>
        <w:snapToGrid w:val="0"/>
        <w:spacing w:before="156" w:beforeLines="50" w:after="156" w:afterLines="50" w:line="240" w:lineRule="auto"/>
        <w:rPr>
          <w:rFonts w:hint="eastAsia"/>
          <w:highlight w:val="none"/>
          <w:lang w:eastAsia="zh-CN"/>
        </w:rPr>
      </w:pPr>
      <w:r>
        <w:rPr>
          <w:highlight w:val="none"/>
          <w:lang w:eastAsia="zh-CN"/>
        </w:rPr>
        <w:br w:type="page"/>
      </w:r>
      <w:r>
        <w:rPr>
          <w:rFonts w:hint="eastAsia"/>
          <w:spacing w:val="-6"/>
          <w:highlight w:val="none"/>
          <w:lang w:eastAsia="zh-CN"/>
        </w:rPr>
        <w:t>附件2：评标办法</w:t>
      </w:r>
    </w:p>
    <w:p w14:paraId="229D622C">
      <w:pPr>
        <w:spacing w:before="181" w:line="219" w:lineRule="auto"/>
        <w:ind w:left="113"/>
        <w:rPr>
          <w:rFonts w:hint="eastAsia" w:ascii="宋体" w:hAnsi="宋体"/>
          <w:sz w:val="24"/>
          <w:szCs w:val="24"/>
          <w:highlight w:val="none"/>
          <w:lang w:eastAsia="zh-CN"/>
        </w:rPr>
      </w:pPr>
      <w:r>
        <w:rPr>
          <w:rFonts w:ascii="宋体" w:hAnsi="宋体"/>
          <w:b/>
          <w:bCs/>
          <w:spacing w:val="-4"/>
          <w:sz w:val="24"/>
          <w:szCs w:val="24"/>
          <w:highlight w:val="none"/>
          <w:lang w:eastAsia="zh-CN"/>
        </w:rPr>
        <w:t>评标办法前附表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31"/>
        <w:gridCol w:w="6439"/>
        <w:gridCol w:w="11"/>
      </w:tblGrid>
      <w:tr w14:paraId="31E8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208" w:type="pct"/>
            <w:gridSpan w:val="2"/>
            <w:noWrap w:val="0"/>
            <w:vAlign w:val="center"/>
          </w:tcPr>
          <w:p w14:paraId="4540B390">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条款号</w:t>
            </w:r>
          </w:p>
        </w:tc>
        <w:tc>
          <w:tcPr>
            <w:tcW w:w="3791" w:type="pct"/>
            <w:gridSpan w:val="2"/>
            <w:noWrap w:val="0"/>
            <w:vAlign w:val="center"/>
          </w:tcPr>
          <w:p w14:paraId="5E59335C">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评审因素与评审标准</w:t>
            </w:r>
          </w:p>
        </w:tc>
      </w:tr>
      <w:tr w14:paraId="2356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90" w:hRule="atLeast"/>
        </w:trPr>
        <w:tc>
          <w:tcPr>
            <w:tcW w:w="423" w:type="pct"/>
            <w:noWrap w:val="0"/>
            <w:vAlign w:val="center"/>
          </w:tcPr>
          <w:p w14:paraId="55BBE598">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1</w:t>
            </w:r>
          </w:p>
        </w:tc>
        <w:tc>
          <w:tcPr>
            <w:tcW w:w="785" w:type="pct"/>
            <w:noWrap w:val="0"/>
            <w:vAlign w:val="center"/>
          </w:tcPr>
          <w:p w14:paraId="237AA080">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评标方法</w:t>
            </w:r>
          </w:p>
        </w:tc>
        <w:tc>
          <w:tcPr>
            <w:tcW w:w="3782" w:type="pct"/>
            <w:noWrap w:val="0"/>
            <w:vAlign w:val="center"/>
          </w:tcPr>
          <w:p w14:paraId="3A37C5B9">
            <w:pPr>
              <w:snapToGrid w:val="0"/>
              <w:spacing w:line="320" w:lineRule="exact"/>
              <w:ind w:firstLine="404" w:firstLineChars="200"/>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41785453">
            <w:pPr>
              <w:snapToGrid w:val="0"/>
              <w:spacing w:line="320" w:lineRule="exact"/>
              <w:ind w:left="176" w:leftChars="97" w:hanging="1"/>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（1）评标价低的投标人优先；</w:t>
            </w:r>
          </w:p>
          <w:p w14:paraId="0BF6C934">
            <w:pPr>
              <w:snapToGrid w:val="0"/>
              <w:spacing w:line="320" w:lineRule="exact"/>
              <w:ind w:left="176" w:leftChars="97" w:hanging="1"/>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（2）实施方案得分较高的投标人优先；</w:t>
            </w:r>
          </w:p>
          <w:p w14:paraId="456CDEDB">
            <w:pPr>
              <w:snapToGrid w:val="0"/>
              <w:spacing w:line="320" w:lineRule="exact"/>
              <w:ind w:firstLine="202" w:firstLineChars="100"/>
              <w:rPr>
                <w:rFonts w:hint="eastAsia" w:ascii="宋体" w:hAnsi="宋体"/>
                <w:sz w:val="21"/>
                <w:szCs w:val="21"/>
                <w:highlight w:val="none"/>
                <w:lang w:eastAsia="zh-CN"/>
              </w:rPr>
            </w:pPr>
            <w:r>
              <w:rPr>
                <w:rFonts w:hint="eastAsia" w:ascii="宋体" w:hAnsi="宋体"/>
                <w:spacing w:val="-4"/>
                <w:sz w:val="21"/>
                <w:szCs w:val="21"/>
                <w:highlight w:val="none"/>
                <w:lang w:eastAsia="zh-CN"/>
              </w:rPr>
              <w:t>（3）投标人满足资格审查条件（业绩最低条件）要求的业绩金额累计较高的优先。</w:t>
            </w:r>
          </w:p>
        </w:tc>
      </w:tr>
      <w:tr w14:paraId="3088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90" w:hRule="atLeast"/>
        </w:trPr>
        <w:tc>
          <w:tcPr>
            <w:tcW w:w="423" w:type="pct"/>
            <w:noWrap w:val="0"/>
            <w:vAlign w:val="center"/>
          </w:tcPr>
          <w:p w14:paraId="68024913">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2.1.1</w:t>
            </w:r>
          </w:p>
          <w:p w14:paraId="44C97489">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2.1.3</w:t>
            </w:r>
          </w:p>
        </w:tc>
        <w:tc>
          <w:tcPr>
            <w:tcW w:w="785" w:type="pct"/>
            <w:noWrap w:val="0"/>
            <w:vAlign w:val="center"/>
          </w:tcPr>
          <w:p w14:paraId="734DAC8D">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形式评审与响应性评审标准</w:t>
            </w:r>
          </w:p>
        </w:tc>
        <w:tc>
          <w:tcPr>
            <w:tcW w:w="3782" w:type="pct"/>
            <w:noWrap w:val="0"/>
            <w:vAlign w:val="top"/>
          </w:tcPr>
          <w:p w14:paraId="174375FD">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第一个信封（商务文件）评审标准：</w:t>
            </w:r>
          </w:p>
          <w:p w14:paraId="024F1229">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（1）投标文件按照招标文件规定的格式、内容填写，字迹清晰可辨：</w:t>
            </w:r>
          </w:p>
          <w:p w14:paraId="7E0AF90F">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a.投标函按招标文件规定填报了项目名称、补遗书编号（如有）、工期、质量要求、安全目标；</w:t>
            </w:r>
          </w:p>
          <w:p w14:paraId="517420EE">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b.投标文件组成齐全完整，内容均按规定填写。</w:t>
            </w:r>
          </w:p>
          <w:p w14:paraId="2E95E5CE">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（2）投标文件上法定代表人或其授权代理人的签字、投标人的单位章盖章齐全，符合招标文件规定。</w:t>
            </w:r>
          </w:p>
          <w:p w14:paraId="1AAEEEB8">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（3）投标人按照招标文件的规定提供了投标保证金，并符合投标人须知前附表3.4.1项的相关规定。</w:t>
            </w:r>
          </w:p>
          <w:p w14:paraId="44B8FC15">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（4）投标人法定代表人授权委托代理人签署投标文件的，须提交授权委托书，授权委托书的签字盖章符合招标文件规定。</w:t>
            </w:r>
          </w:p>
          <w:p w14:paraId="562FA596">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（5）投标人法定代表人亲自签署投标文件的，提供了法定代表人身份证明，并符合招标文件的规定。</w:t>
            </w:r>
          </w:p>
          <w:p w14:paraId="58FC0DE5">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（6）投标人以联合体形式投标时，联合体满足招标文件的要求。</w:t>
            </w:r>
          </w:p>
          <w:p w14:paraId="25D64261">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（7）投标人未对本项目进行分包。</w:t>
            </w:r>
          </w:p>
          <w:p w14:paraId="062BAB2B">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（8）</w:t>
            </w:r>
            <w:r>
              <w:rPr>
                <w:rFonts w:hint="eastAsia" w:ascii="宋体" w:hAnsi="宋体"/>
                <w:color w:val="000000"/>
                <w:sz w:val="21"/>
                <w:szCs w:val="21"/>
                <w:highlight w:val="none"/>
                <w:lang w:eastAsia="zh-CN"/>
              </w:rPr>
              <w:t>同一投标人未提交两个以上不同的投标文件。</w:t>
            </w:r>
          </w:p>
          <w:p w14:paraId="51A9E458">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（9）投标文件第一信封中未出现有关投标报价的内容。</w:t>
            </w:r>
          </w:p>
          <w:p w14:paraId="42974FC8">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（10）投标文件载明的招标项目完成期限符合招标文件规定。</w:t>
            </w:r>
          </w:p>
          <w:p w14:paraId="5DED68DC">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（11）投标文件对招标文件的实质性要求和条件作出响应。</w:t>
            </w:r>
          </w:p>
          <w:p w14:paraId="75ECBB72">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（12）权利义务符合招标文件规定：</w:t>
            </w:r>
          </w:p>
          <w:p w14:paraId="0F87306A">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a.投标人应接受招标文件规定的风险划分原则，未提出新的风险划分办法；</w:t>
            </w:r>
          </w:p>
          <w:p w14:paraId="1DD52B81">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b.投标人未增加发包人的责任范围，或减少投标人义务；</w:t>
            </w:r>
          </w:p>
          <w:p w14:paraId="1E3264B3">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c.投标人未提出不同的支付办法；</w:t>
            </w:r>
          </w:p>
          <w:p w14:paraId="18C3203A">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d.投标人对合同纠纷、事故处理办法未提出异议；</w:t>
            </w:r>
          </w:p>
          <w:p w14:paraId="55011B29">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e.投标人在投标活动中无欺诈行为；</w:t>
            </w:r>
          </w:p>
          <w:p w14:paraId="7FDC1309">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f.投标人未对合同条款有重要保留。</w:t>
            </w:r>
          </w:p>
          <w:p w14:paraId="207A54DE">
            <w:pPr>
              <w:pStyle w:val="15"/>
              <w:snapToGrid w:val="0"/>
              <w:spacing w:line="320" w:lineRule="exact"/>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（13）投标人不存在投标人须知前附表4.4(1)、(3)项规定的情形。</w:t>
            </w:r>
          </w:p>
          <w:p w14:paraId="20186ABD">
            <w:pPr>
              <w:pStyle w:val="15"/>
              <w:snapToGrid w:val="0"/>
              <w:spacing w:line="320" w:lineRule="exact"/>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lang w:val="en-US" w:eastAsia="zh-CN"/>
              </w:rPr>
              <w:t>不</w:t>
            </w:r>
            <w:r>
              <w:rPr>
                <w:rFonts w:hint="eastAsia" w:ascii="宋体" w:hAnsi="宋体" w:eastAsia="宋体" w:cs="宋体"/>
                <w:sz w:val="21"/>
                <w:szCs w:val="21"/>
                <w:highlight w:val="none"/>
                <w:lang w:eastAsia="zh-CN"/>
              </w:rPr>
              <w:t>存在</w:t>
            </w:r>
            <w:r>
              <w:rPr>
                <w:rFonts w:hint="eastAsia" w:ascii="宋体" w:hAnsi="宋体" w:eastAsia="宋体" w:cs="宋体"/>
                <w:sz w:val="21"/>
                <w:szCs w:val="21"/>
                <w:highlight w:val="none"/>
                <w:lang w:val="en-US" w:eastAsia="zh-CN"/>
              </w:rPr>
              <w:t>因</w:t>
            </w:r>
            <w:r>
              <w:rPr>
                <w:rFonts w:hint="eastAsia" w:ascii="宋体" w:hAnsi="宋体" w:eastAsia="宋体" w:cs="宋体"/>
                <w:sz w:val="21"/>
                <w:szCs w:val="21"/>
                <w:highlight w:val="none"/>
                <w:lang w:eastAsia="zh-CN"/>
              </w:rPr>
              <w:t>投标人须知前附表4.4(2)项规定的情形</w:t>
            </w:r>
            <w:r>
              <w:rPr>
                <w:rFonts w:hint="eastAsia" w:ascii="宋体" w:hAnsi="宋体" w:eastAsia="宋体" w:cs="宋体"/>
                <w:sz w:val="21"/>
                <w:szCs w:val="21"/>
                <w:highlight w:val="none"/>
                <w:lang w:val="en-US" w:eastAsia="zh-CN"/>
              </w:rPr>
              <w:t>被评标委员会认定</w:t>
            </w:r>
            <w:r>
              <w:rPr>
                <w:rFonts w:hint="eastAsia" w:ascii="宋体" w:hAnsi="宋体" w:eastAsia="宋体" w:cs="宋体"/>
                <w:sz w:val="21"/>
                <w:szCs w:val="21"/>
                <w:highlight w:val="none"/>
                <w:lang w:eastAsia="zh-CN"/>
              </w:rPr>
              <w:t>投标文件异常一致或投标活动异常关联活动情形。</w:t>
            </w:r>
          </w:p>
          <w:p w14:paraId="0390595D">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第二个信封（报价文件）评审标准：</w:t>
            </w:r>
          </w:p>
          <w:p w14:paraId="394BA3C7">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（1）投标文件按照招标文件规定的格式、内容填写，字迹清晰可辨，内容齐全完整。</w:t>
            </w:r>
          </w:p>
          <w:p w14:paraId="0C56967B">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a.投标函按招标文件规定填报了项目名称、标段号、补遗书编号（如有）、投标报价（包括大写金额和小写金额）；</w:t>
            </w:r>
          </w:p>
          <w:p w14:paraId="4EED9D90">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b.报价清单说明文字与招标文件规定一致，未进行实质性修改和删减；</w:t>
            </w:r>
          </w:p>
          <w:p w14:paraId="7BE1DFAE">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c．投标文件组成齐全完整，内容均按规定填写。</w:t>
            </w:r>
          </w:p>
          <w:p w14:paraId="36AE7A44">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（2）投标文件上法定代表人或其授权代理人的签字、投标人的单位章盖章齐全，符合招标文件规定。</w:t>
            </w:r>
          </w:p>
          <w:p w14:paraId="345AF82B">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（3）</w:t>
            </w:r>
            <w:r>
              <w:rPr>
                <w:rFonts w:hint="eastAsia" w:ascii="宋体" w:hAnsi="宋体"/>
                <w:color w:val="000000"/>
                <w:sz w:val="21"/>
                <w:szCs w:val="21"/>
                <w:highlight w:val="none"/>
                <w:lang w:eastAsia="zh-CN"/>
              </w:rPr>
              <w:t>投标报价及分项报价均未超过招标文件设定的最高投标限价</w:t>
            </w:r>
            <w:r>
              <w:rPr>
                <w:rFonts w:hint="eastAsia" w:ascii="宋体" w:hAnsi="宋体"/>
                <w:bCs/>
                <w:sz w:val="21"/>
                <w:szCs w:val="21"/>
                <w:highlight w:val="none"/>
                <w:lang w:eastAsia="zh-CN"/>
              </w:rPr>
              <w:t>。</w:t>
            </w:r>
          </w:p>
          <w:p w14:paraId="0FDDC725">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（4）投标报价大写金额能够确定具体数值。</w:t>
            </w:r>
          </w:p>
          <w:p w14:paraId="0E52AE5E">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（5）同一投标人未提交两个以上不同的投标报价。</w:t>
            </w:r>
          </w:p>
          <w:p w14:paraId="6E7C3B3E">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（6）报价清单表中投标报价与投标函中投标报价大写金额一致。</w:t>
            </w:r>
          </w:p>
          <w:p w14:paraId="55E6C204">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（7）投标人不存在投标人须知前附表4.4(1)、(3)项规定的情形。</w:t>
            </w:r>
          </w:p>
          <w:p w14:paraId="2A1515F9">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8</w:t>
            </w:r>
            <w:r>
              <w:rPr>
                <w:rFonts w:hint="eastAsia" w:ascii="宋体" w:hAnsi="宋体"/>
                <w:bCs/>
                <w:sz w:val="21"/>
                <w:szCs w:val="21"/>
                <w:highlight w:val="none"/>
                <w:lang w:eastAsia="zh-CN"/>
              </w:rPr>
              <w:t>）投标人</w:t>
            </w:r>
            <w:r>
              <w:rPr>
                <w:rFonts w:hint="eastAsia" w:ascii="宋体" w:hAnsi="宋体"/>
                <w:bCs/>
                <w:sz w:val="21"/>
                <w:szCs w:val="21"/>
                <w:highlight w:val="none"/>
                <w:lang w:val="en-US" w:eastAsia="zh-CN"/>
              </w:rPr>
              <w:t>不</w:t>
            </w:r>
            <w:r>
              <w:rPr>
                <w:rFonts w:hint="eastAsia" w:ascii="宋体" w:hAnsi="宋体"/>
                <w:bCs/>
                <w:sz w:val="21"/>
                <w:szCs w:val="21"/>
                <w:highlight w:val="none"/>
                <w:lang w:eastAsia="zh-CN"/>
              </w:rPr>
              <w:t>存在</w:t>
            </w:r>
            <w:r>
              <w:rPr>
                <w:rFonts w:hint="eastAsia" w:ascii="宋体" w:hAnsi="宋体"/>
                <w:bCs/>
                <w:sz w:val="21"/>
                <w:szCs w:val="21"/>
                <w:highlight w:val="none"/>
                <w:lang w:val="en-US" w:eastAsia="zh-CN"/>
              </w:rPr>
              <w:t>因</w:t>
            </w:r>
            <w:r>
              <w:rPr>
                <w:rFonts w:hint="eastAsia" w:ascii="宋体" w:hAnsi="宋体"/>
                <w:bCs/>
                <w:sz w:val="21"/>
                <w:szCs w:val="21"/>
                <w:highlight w:val="none"/>
                <w:lang w:eastAsia="zh-CN"/>
              </w:rPr>
              <w:t>投标人须知前附表4.4(2)项规定的情形</w:t>
            </w:r>
            <w:r>
              <w:rPr>
                <w:rFonts w:hint="eastAsia" w:ascii="宋体" w:hAnsi="宋体"/>
                <w:bCs/>
                <w:sz w:val="21"/>
                <w:szCs w:val="21"/>
                <w:highlight w:val="none"/>
                <w:lang w:val="en-US" w:eastAsia="zh-CN"/>
              </w:rPr>
              <w:t>被评标委员会认定</w:t>
            </w:r>
            <w:r>
              <w:rPr>
                <w:rFonts w:hint="eastAsia" w:ascii="宋体" w:hAnsi="宋体"/>
                <w:bCs/>
                <w:sz w:val="21"/>
                <w:szCs w:val="21"/>
                <w:highlight w:val="none"/>
                <w:lang w:eastAsia="zh-CN"/>
              </w:rPr>
              <w:t>投标文件异常一致或投标活动异常关联活动情形。</w:t>
            </w:r>
          </w:p>
          <w:p w14:paraId="46358438">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（9）投标人不存在因投标人须知前附表3.2.5项规定被评标委员会认定为低于成本或影响履约的异常低价竞标的情形。</w:t>
            </w:r>
          </w:p>
        </w:tc>
      </w:tr>
      <w:tr w14:paraId="2720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2020" w:hRule="atLeast"/>
        </w:trPr>
        <w:tc>
          <w:tcPr>
            <w:tcW w:w="423" w:type="pct"/>
            <w:noWrap w:val="0"/>
            <w:vAlign w:val="center"/>
          </w:tcPr>
          <w:p w14:paraId="0AF28CCB">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2.1.2</w:t>
            </w:r>
          </w:p>
        </w:tc>
        <w:tc>
          <w:tcPr>
            <w:tcW w:w="785" w:type="pct"/>
            <w:noWrap w:val="0"/>
            <w:vAlign w:val="center"/>
          </w:tcPr>
          <w:p w14:paraId="1FDC0565">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资格评审标准</w:t>
            </w:r>
          </w:p>
        </w:tc>
        <w:tc>
          <w:tcPr>
            <w:tcW w:w="3782" w:type="pct"/>
            <w:noWrap w:val="0"/>
            <w:vAlign w:val="top"/>
          </w:tcPr>
          <w:p w14:paraId="405DC9F5">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（1）投标人具备有效的营业执照副本、资质证书、安全生产许可证和基本账户开户许可证（或基本存款账户信息）；</w:t>
            </w:r>
          </w:p>
          <w:p w14:paraId="64D15ACD">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（2）投标人的资质符合招标文件规定；</w:t>
            </w:r>
          </w:p>
          <w:p w14:paraId="2DB91804">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3</w:t>
            </w:r>
            <w:r>
              <w:rPr>
                <w:rFonts w:hint="eastAsia" w:ascii="宋体" w:hAnsi="宋体"/>
                <w:sz w:val="21"/>
                <w:szCs w:val="21"/>
                <w:highlight w:val="none"/>
                <w:lang w:eastAsia="zh-CN"/>
              </w:rPr>
              <w:t>）投标人的业绩符合招标文件规定；</w:t>
            </w:r>
          </w:p>
          <w:p w14:paraId="745E426E">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4</w:t>
            </w:r>
            <w:r>
              <w:rPr>
                <w:rFonts w:hint="eastAsia" w:ascii="宋体" w:hAnsi="宋体"/>
                <w:sz w:val="21"/>
                <w:szCs w:val="21"/>
                <w:highlight w:val="none"/>
                <w:lang w:eastAsia="zh-CN"/>
              </w:rPr>
              <w:t>）投标人的信誉符合招标文件规定；</w:t>
            </w:r>
          </w:p>
          <w:p w14:paraId="41B86489">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5</w:t>
            </w:r>
            <w:r>
              <w:rPr>
                <w:rFonts w:hint="eastAsia" w:ascii="宋体" w:hAnsi="宋体"/>
                <w:sz w:val="21"/>
                <w:szCs w:val="21"/>
                <w:highlight w:val="none"/>
                <w:lang w:eastAsia="zh-CN"/>
              </w:rPr>
              <w:t>）投标人不存在第二章“投标人须知”1.4.3项或第1.4.4项规定的任何一种情形。</w:t>
            </w:r>
          </w:p>
          <w:p w14:paraId="23339BC6">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6</w:t>
            </w:r>
            <w:r>
              <w:rPr>
                <w:rFonts w:hint="eastAsia" w:ascii="宋体" w:hAnsi="宋体"/>
                <w:sz w:val="21"/>
                <w:szCs w:val="21"/>
                <w:highlight w:val="none"/>
                <w:lang w:eastAsia="zh-CN"/>
              </w:rPr>
              <w:t>）以联合体形式参与投标的，联合体各方均未再以自己名义单独或参加其他联合体在本项目的投标；独立参与投标的，投标人未同时参加联合体在本项目的投标。</w:t>
            </w:r>
          </w:p>
        </w:tc>
      </w:tr>
      <w:tr w14:paraId="25EA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423" w:type="pct"/>
            <w:noWrap w:val="0"/>
            <w:vAlign w:val="center"/>
          </w:tcPr>
          <w:p w14:paraId="2B7EE0BA">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2.2.1</w:t>
            </w:r>
          </w:p>
        </w:tc>
        <w:tc>
          <w:tcPr>
            <w:tcW w:w="785" w:type="pct"/>
            <w:noWrap w:val="0"/>
            <w:vAlign w:val="center"/>
          </w:tcPr>
          <w:p w14:paraId="06344703">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分值构成（总分100分）</w:t>
            </w:r>
          </w:p>
        </w:tc>
        <w:tc>
          <w:tcPr>
            <w:tcW w:w="3782" w:type="pct"/>
            <w:noWrap w:val="0"/>
            <w:vAlign w:val="center"/>
          </w:tcPr>
          <w:p w14:paraId="52578DDB">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第一个信封（商务及技术文件）评分分值构成：</w:t>
            </w:r>
          </w:p>
          <w:p w14:paraId="39651916">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val="en-US" w:eastAsia="zh-CN"/>
              </w:rPr>
              <w:t>设计</w:t>
            </w:r>
            <w:r>
              <w:rPr>
                <w:rFonts w:hint="eastAsia" w:ascii="宋体" w:hAnsi="宋体"/>
                <w:b/>
                <w:sz w:val="21"/>
                <w:szCs w:val="21"/>
                <w:highlight w:val="none"/>
                <w:lang w:eastAsia="zh-CN"/>
              </w:rPr>
              <w:t>方案：</w:t>
            </w:r>
            <w:r>
              <w:rPr>
                <w:rFonts w:hint="eastAsia" w:ascii="宋体" w:hAnsi="宋体"/>
                <w:b/>
                <w:sz w:val="21"/>
                <w:szCs w:val="21"/>
                <w:highlight w:val="none"/>
                <w:u w:val="single"/>
                <w:lang w:val="en-US" w:eastAsia="zh-CN"/>
              </w:rPr>
              <w:t>45</w:t>
            </w:r>
            <w:r>
              <w:rPr>
                <w:rFonts w:hint="eastAsia" w:ascii="宋体" w:hAnsi="宋体"/>
                <w:b/>
                <w:sz w:val="21"/>
                <w:szCs w:val="21"/>
                <w:highlight w:val="none"/>
                <w:lang w:eastAsia="zh-CN"/>
              </w:rPr>
              <w:t>分</w:t>
            </w:r>
          </w:p>
          <w:p w14:paraId="72B63250">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val="en-US" w:eastAsia="zh-CN"/>
              </w:rPr>
              <w:t>实施方案</w:t>
            </w:r>
            <w:r>
              <w:rPr>
                <w:rFonts w:hint="eastAsia" w:ascii="宋体" w:hAnsi="宋体"/>
                <w:b/>
                <w:sz w:val="21"/>
                <w:szCs w:val="21"/>
                <w:highlight w:val="none"/>
                <w:lang w:eastAsia="zh-CN"/>
              </w:rPr>
              <w:t>：</w:t>
            </w:r>
            <w:r>
              <w:rPr>
                <w:rFonts w:hint="eastAsia" w:ascii="宋体" w:hAnsi="宋体"/>
                <w:b/>
                <w:sz w:val="21"/>
                <w:szCs w:val="21"/>
                <w:highlight w:val="none"/>
                <w:u w:val="single"/>
                <w:lang w:eastAsia="zh-CN"/>
              </w:rPr>
              <w:t>1</w:t>
            </w:r>
            <w:r>
              <w:rPr>
                <w:rFonts w:hint="eastAsia" w:ascii="宋体" w:hAnsi="宋体"/>
                <w:b/>
                <w:sz w:val="21"/>
                <w:szCs w:val="21"/>
                <w:highlight w:val="none"/>
                <w:u w:val="single"/>
                <w:lang w:val="en-US" w:eastAsia="zh-CN"/>
              </w:rPr>
              <w:t>5</w:t>
            </w:r>
            <w:r>
              <w:rPr>
                <w:rFonts w:hint="eastAsia" w:ascii="宋体" w:hAnsi="宋体"/>
                <w:b/>
                <w:sz w:val="21"/>
                <w:szCs w:val="21"/>
                <w:highlight w:val="none"/>
                <w:lang w:eastAsia="zh-CN"/>
              </w:rPr>
              <w:t>分</w:t>
            </w:r>
          </w:p>
          <w:p w14:paraId="0018F3B5">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val="en-US" w:eastAsia="zh-CN"/>
              </w:rPr>
              <w:t>其他因素</w:t>
            </w:r>
            <w:r>
              <w:rPr>
                <w:rFonts w:hint="eastAsia" w:ascii="宋体" w:hAnsi="宋体"/>
                <w:b/>
                <w:sz w:val="21"/>
                <w:szCs w:val="21"/>
                <w:highlight w:val="none"/>
                <w:lang w:eastAsia="zh-CN"/>
              </w:rPr>
              <w:t>：</w:t>
            </w:r>
            <w:r>
              <w:rPr>
                <w:rFonts w:hint="eastAsia" w:ascii="宋体" w:hAnsi="宋体"/>
                <w:b/>
                <w:sz w:val="21"/>
                <w:szCs w:val="21"/>
                <w:highlight w:val="none"/>
                <w:u w:val="single"/>
                <w:lang w:val="en-US" w:eastAsia="zh-CN"/>
              </w:rPr>
              <w:t>10</w:t>
            </w:r>
            <w:r>
              <w:rPr>
                <w:rFonts w:hint="eastAsia" w:ascii="宋体" w:hAnsi="宋体"/>
                <w:b/>
                <w:sz w:val="21"/>
                <w:szCs w:val="21"/>
                <w:highlight w:val="none"/>
                <w:lang w:eastAsia="zh-CN"/>
              </w:rPr>
              <w:t>分</w:t>
            </w:r>
          </w:p>
          <w:p w14:paraId="0C423A3D">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第二个信封（报价文件）评分分值构成：</w:t>
            </w:r>
          </w:p>
          <w:p w14:paraId="3E56DBCB">
            <w:pPr>
              <w:snapToGrid w:val="0"/>
              <w:spacing w:line="320" w:lineRule="exact"/>
              <w:rPr>
                <w:rFonts w:hint="eastAsia" w:ascii="宋体" w:hAnsi="宋体"/>
                <w:b/>
                <w:sz w:val="21"/>
                <w:szCs w:val="21"/>
                <w:highlight w:val="none"/>
              </w:rPr>
            </w:pPr>
            <w:r>
              <w:rPr>
                <w:rFonts w:hint="eastAsia" w:ascii="宋体" w:hAnsi="宋体"/>
                <w:b/>
                <w:sz w:val="21"/>
                <w:szCs w:val="21"/>
                <w:highlight w:val="none"/>
              </w:rPr>
              <w:t>评标价：</w:t>
            </w:r>
            <w:r>
              <w:rPr>
                <w:rFonts w:hint="eastAsia" w:ascii="宋体" w:hAnsi="宋体"/>
                <w:b/>
                <w:sz w:val="21"/>
                <w:szCs w:val="21"/>
                <w:highlight w:val="none"/>
                <w:u w:val="single"/>
                <w:lang w:eastAsia="zh-CN"/>
              </w:rPr>
              <w:t>3</w:t>
            </w:r>
            <w:r>
              <w:rPr>
                <w:rFonts w:hint="eastAsia" w:ascii="宋体" w:hAnsi="宋体"/>
                <w:b/>
                <w:sz w:val="21"/>
                <w:szCs w:val="21"/>
                <w:highlight w:val="none"/>
                <w:u w:val="single"/>
              </w:rPr>
              <w:t>0</w:t>
            </w:r>
            <w:r>
              <w:rPr>
                <w:rFonts w:hint="eastAsia" w:ascii="宋体" w:hAnsi="宋体"/>
                <w:b/>
                <w:sz w:val="21"/>
                <w:szCs w:val="21"/>
                <w:highlight w:val="none"/>
              </w:rPr>
              <w:t>分</w:t>
            </w:r>
          </w:p>
        </w:tc>
      </w:tr>
      <w:tr w14:paraId="2BF9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1027" w:hRule="atLeast"/>
        </w:trPr>
        <w:tc>
          <w:tcPr>
            <w:tcW w:w="423" w:type="pct"/>
            <w:noWrap w:val="0"/>
            <w:vAlign w:val="center"/>
          </w:tcPr>
          <w:p w14:paraId="65F18897">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2.2.2</w:t>
            </w:r>
          </w:p>
        </w:tc>
        <w:tc>
          <w:tcPr>
            <w:tcW w:w="785" w:type="pct"/>
            <w:noWrap w:val="0"/>
            <w:vAlign w:val="center"/>
          </w:tcPr>
          <w:p w14:paraId="50739D2B">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评标基准价计算方法</w:t>
            </w:r>
          </w:p>
        </w:tc>
        <w:tc>
          <w:tcPr>
            <w:tcW w:w="3782" w:type="pct"/>
            <w:noWrap w:val="0"/>
            <w:vAlign w:val="center"/>
          </w:tcPr>
          <w:p w14:paraId="4B57CE4E">
            <w:pPr>
              <w:snapToGrid w:val="0"/>
              <w:spacing w:line="320" w:lineRule="exact"/>
              <w:ind w:right="113"/>
              <w:rPr>
                <w:rFonts w:hint="eastAsia" w:ascii="宋体" w:hAnsi="宋体"/>
                <w:sz w:val="21"/>
                <w:szCs w:val="21"/>
                <w:highlight w:val="none"/>
                <w:lang w:eastAsia="zh-CN"/>
              </w:rPr>
            </w:pPr>
            <w:r>
              <w:rPr>
                <w:rFonts w:hint="eastAsia" w:ascii="宋体" w:hAnsi="宋体"/>
                <w:b/>
                <w:bCs/>
                <w:sz w:val="21"/>
                <w:szCs w:val="21"/>
                <w:highlight w:val="none"/>
                <w:lang w:eastAsia="zh-CN"/>
              </w:rPr>
              <w:t>评标基准价的计算</w:t>
            </w:r>
            <w:r>
              <w:rPr>
                <w:rFonts w:hint="eastAsia" w:ascii="宋体" w:hAnsi="宋体"/>
                <w:sz w:val="21"/>
                <w:szCs w:val="21"/>
                <w:highlight w:val="none"/>
                <w:lang w:eastAsia="zh-CN"/>
              </w:rPr>
              <w:t>：</w:t>
            </w:r>
          </w:p>
          <w:p w14:paraId="7E593E3F">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在第二个信封开标现场，招标人当场计算并宣布评标基准价。</w:t>
            </w:r>
          </w:p>
          <w:p w14:paraId="16281F72">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(1)评标价的确定：</w:t>
            </w:r>
          </w:p>
          <w:p w14:paraId="6366DD4E">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评标价=投标函文字报价</w:t>
            </w:r>
          </w:p>
          <w:p w14:paraId="2BCF385E">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(2)评标价平均值的计算：</w:t>
            </w:r>
          </w:p>
          <w:p w14:paraId="11B3904E">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64552008">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(3)评标基准价的确定：</w:t>
            </w:r>
          </w:p>
          <w:p w14:paraId="689BF8D1">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评标价平均值直接作为评标基准价（评标基准价保留小数点后两位，小数点后第三位四舍五入）。</w:t>
            </w:r>
          </w:p>
          <w:p w14:paraId="5B7F1979">
            <w:pPr>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7F4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Pr>
        <w:tc>
          <w:tcPr>
            <w:tcW w:w="423" w:type="pct"/>
            <w:noWrap w:val="0"/>
            <w:vAlign w:val="center"/>
          </w:tcPr>
          <w:p w14:paraId="45ED0937">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2.2.3</w:t>
            </w:r>
          </w:p>
        </w:tc>
        <w:tc>
          <w:tcPr>
            <w:tcW w:w="785" w:type="pct"/>
            <w:noWrap w:val="0"/>
            <w:vAlign w:val="center"/>
          </w:tcPr>
          <w:p w14:paraId="7ABB7DAC">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评标价的偏差率计算公式</w:t>
            </w:r>
          </w:p>
        </w:tc>
        <w:tc>
          <w:tcPr>
            <w:tcW w:w="3782" w:type="pct"/>
            <w:noWrap w:val="0"/>
            <w:vAlign w:val="center"/>
          </w:tcPr>
          <w:p w14:paraId="762DEB2B">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w:t>
            </w:r>
          </w:p>
        </w:tc>
      </w:tr>
      <w:tr w14:paraId="0D15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1728" w:hRule="atLeast"/>
        </w:trPr>
        <w:tc>
          <w:tcPr>
            <w:tcW w:w="423" w:type="pct"/>
            <w:noWrap w:val="0"/>
            <w:vAlign w:val="center"/>
          </w:tcPr>
          <w:p w14:paraId="2E77C6EE">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3.5.3</w:t>
            </w:r>
          </w:p>
        </w:tc>
        <w:tc>
          <w:tcPr>
            <w:tcW w:w="785" w:type="pct"/>
            <w:noWrap w:val="0"/>
            <w:vAlign w:val="center"/>
          </w:tcPr>
          <w:p w14:paraId="13E46142">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异常低价</w:t>
            </w:r>
          </w:p>
        </w:tc>
        <w:tc>
          <w:tcPr>
            <w:tcW w:w="3782" w:type="pct"/>
            <w:noWrap w:val="0"/>
            <w:vAlign w:val="center"/>
          </w:tcPr>
          <w:p w14:paraId="2A94736A">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77C865BA">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投标人存在投标人须知前附表3.2.5项情形的，评标委员会应当通知投标人可在规定时间内作出书面说明并提供相应的证明材料。投标人不能合理说明或者不能提供相应证明材料的，评标委员会应当认定该投标人以低于成本或影响履约的异常低价竞标，否决其投标。</w:t>
            </w:r>
          </w:p>
        </w:tc>
      </w:tr>
      <w:tr w14:paraId="31EF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793" w:hRule="atLeast"/>
        </w:trPr>
        <w:tc>
          <w:tcPr>
            <w:tcW w:w="423" w:type="pct"/>
            <w:noWrap w:val="0"/>
            <w:vAlign w:val="center"/>
          </w:tcPr>
          <w:p w14:paraId="3D09A2EC">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3.6.1</w:t>
            </w:r>
          </w:p>
        </w:tc>
        <w:tc>
          <w:tcPr>
            <w:tcW w:w="785" w:type="pct"/>
            <w:noWrap w:val="0"/>
            <w:vAlign w:val="center"/>
          </w:tcPr>
          <w:p w14:paraId="062D379B">
            <w:pPr>
              <w:adjustRightInd w:val="0"/>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信息</w:t>
            </w:r>
          </w:p>
          <w:p w14:paraId="39F78947">
            <w:pPr>
              <w:adjustRightInd w:val="0"/>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查询</w:t>
            </w:r>
          </w:p>
        </w:tc>
        <w:tc>
          <w:tcPr>
            <w:tcW w:w="3782" w:type="pct"/>
            <w:noWrap w:val="0"/>
            <w:vAlign w:val="center"/>
          </w:tcPr>
          <w:p w14:paraId="44BE0E68">
            <w:pPr>
              <w:autoSpaceDE w:val="0"/>
              <w:autoSpaceDN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54966825">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在评标过程中，评标委员会应对以下信息进行查询：</w:t>
            </w:r>
          </w:p>
          <w:p w14:paraId="1A82680A">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1）投标人信用情况网页截图内容与在“国家企业信用信息公示系统”中严重违法失信名单（黑名单）（不含分公司）或在“信用中国”网站中失信被执行人名单、经营（活动）异常名录、重大税收违法失信主体名单、政府采购严重违法失信行为记录名单的复核结果一致。如投标人未提供相关网页截图或所附截图与复核结果不一致导致不能满足资格评审要求的，评标委员会应否决其投标。</w:t>
            </w:r>
          </w:p>
          <w:p w14:paraId="75E4A713">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4B14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noWrap w:val="0"/>
            <w:vAlign w:val="center"/>
          </w:tcPr>
          <w:p w14:paraId="2EDFBC14">
            <w:pPr>
              <w:snapToGrid w:val="0"/>
              <w:spacing w:line="320" w:lineRule="exact"/>
              <w:ind w:right="113"/>
              <w:rPr>
                <w:rFonts w:hint="eastAsia" w:ascii="宋体" w:hAnsi="宋体"/>
                <w:bCs/>
                <w:sz w:val="21"/>
                <w:szCs w:val="21"/>
                <w:highlight w:val="none"/>
                <w:lang w:eastAsia="zh-CN"/>
              </w:rPr>
            </w:pPr>
            <w:r>
              <w:rPr>
                <w:rFonts w:hint="eastAsia" w:ascii="宋体" w:hAnsi="宋体"/>
                <w:sz w:val="21"/>
                <w:szCs w:val="21"/>
                <w:highlight w:val="none"/>
                <w:lang w:eastAsia="zh-CN"/>
              </w:rPr>
              <w:t>需要补充的其他内容：</w:t>
            </w:r>
            <w:r>
              <w:rPr>
                <w:rFonts w:hint="eastAsia" w:ascii="宋体" w:hAnsi="宋体"/>
                <w:bCs/>
                <w:sz w:val="21"/>
                <w:szCs w:val="21"/>
                <w:highlight w:val="none"/>
                <w:lang w:eastAsia="zh-CN"/>
              </w:rPr>
              <w:t>无</w:t>
            </w:r>
          </w:p>
        </w:tc>
      </w:tr>
    </w:tbl>
    <w:p w14:paraId="2949DF82">
      <w:pPr>
        <w:spacing w:before="46"/>
        <w:rPr>
          <w:highlight w:val="none"/>
          <w:lang w:eastAsia="zh-CN"/>
        </w:rPr>
      </w:pPr>
      <w:r>
        <w:rPr>
          <w:highlight w:val="none"/>
          <w:lang w:eastAsia="zh-CN"/>
        </w:rPr>
        <w:br w:type="page"/>
      </w:r>
    </w:p>
    <w:tbl>
      <w:tblPr>
        <w:tblStyle w:val="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752"/>
        <w:gridCol w:w="810"/>
        <w:gridCol w:w="4984"/>
      </w:tblGrid>
      <w:tr w14:paraId="4067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668" w:type="dxa"/>
            <w:gridSpan w:val="5"/>
            <w:noWrap w:val="0"/>
            <w:vAlign w:val="center"/>
          </w:tcPr>
          <w:p w14:paraId="60F9F289">
            <w:pPr>
              <w:pStyle w:val="7"/>
              <w:snapToGrid w:val="0"/>
              <w:spacing w:line="320" w:lineRule="exact"/>
              <w:jc w:val="center"/>
              <w:rPr>
                <w:rFonts w:hint="eastAsia" w:hAnsi="宋体"/>
                <w:sz w:val="21"/>
                <w:szCs w:val="21"/>
                <w:highlight w:val="none"/>
              </w:rPr>
            </w:pPr>
            <w:r>
              <w:rPr>
                <w:rFonts w:hint="eastAsia" w:hAnsi="宋体"/>
                <w:sz w:val="21"/>
                <w:szCs w:val="21"/>
                <w:highlight w:val="none"/>
              </w:rPr>
              <w:t>评分因素与权重分值</w:t>
            </w:r>
          </w:p>
        </w:tc>
        <w:tc>
          <w:tcPr>
            <w:tcW w:w="4984" w:type="dxa"/>
            <w:vMerge w:val="restart"/>
            <w:noWrap w:val="0"/>
            <w:vAlign w:val="center"/>
          </w:tcPr>
          <w:p w14:paraId="396CC88B">
            <w:pPr>
              <w:pStyle w:val="7"/>
              <w:snapToGrid w:val="0"/>
              <w:spacing w:line="320" w:lineRule="exact"/>
              <w:jc w:val="center"/>
              <w:rPr>
                <w:rFonts w:hint="eastAsia" w:hAnsi="宋体"/>
                <w:sz w:val="21"/>
                <w:szCs w:val="21"/>
                <w:highlight w:val="none"/>
              </w:rPr>
            </w:pPr>
            <w:r>
              <w:rPr>
                <w:rFonts w:hint="eastAsia" w:hAnsi="宋体"/>
                <w:sz w:val="21"/>
                <w:szCs w:val="21"/>
                <w:highlight w:val="none"/>
              </w:rPr>
              <w:t>评分标准</w:t>
            </w:r>
          </w:p>
        </w:tc>
      </w:tr>
      <w:tr w14:paraId="645C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6701F248">
            <w:pPr>
              <w:pStyle w:val="7"/>
              <w:snapToGrid w:val="0"/>
              <w:spacing w:line="320" w:lineRule="exact"/>
              <w:jc w:val="center"/>
              <w:rPr>
                <w:rFonts w:hint="eastAsia" w:hAnsi="宋体"/>
                <w:sz w:val="21"/>
                <w:szCs w:val="21"/>
                <w:highlight w:val="none"/>
              </w:rPr>
            </w:pPr>
            <w:r>
              <w:rPr>
                <w:rFonts w:hint="eastAsia" w:hAnsi="宋体"/>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57CED101">
            <w:pPr>
              <w:pStyle w:val="7"/>
              <w:snapToGrid w:val="0"/>
              <w:spacing w:line="320" w:lineRule="exact"/>
              <w:jc w:val="center"/>
              <w:rPr>
                <w:rFonts w:hint="eastAsia" w:hAnsi="宋体"/>
                <w:sz w:val="21"/>
                <w:szCs w:val="21"/>
                <w:highlight w:val="none"/>
              </w:rPr>
            </w:pPr>
            <w:r>
              <w:rPr>
                <w:rFonts w:hint="eastAsia" w:hAnsi="宋体"/>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ED74168">
            <w:pPr>
              <w:pStyle w:val="7"/>
              <w:snapToGrid w:val="0"/>
              <w:spacing w:line="320" w:lineRule="exact"/>
              <w:ind w:left="-34" w:leftChars="-19" w:right="-27" w:rightChars="-15" w:firstLine="1"/>
              <w:jc w:val="center"/>
              <w:rPr>
                <w:rFonts w:hint="eastAsia" w:hAnsi="宋体"/>
                <w:sz w:val="21"/>
                <w:szCs w:val="21"/>
                <w:highlight w:val="none"/>
              </w:rPr>
            </w:pPr>
            <w:r>
              <w:rPr>
                <w:rFonts w:hint="eastAsia" w:hAnsi="宋体"/>
                <w:sz w:val="21"/>
                <w:szCs w:val="21"/>
                <w:highlight w:val="none"/>
              </w:rPr>
              <w:t>评分因素 权重分值</w:t>
            </w:r>
          </w:p>
        </w:tc>
        <w:tc>
          <w:tcPr>
            <w:tcW w:w="1752" w:type="dxa"/>
            <w:tcBorders>
              <w:top w:val="single" w:color="auto" w:sz="4" w:space="0"/>
              <w:left w:val="single" w:color="auto" w:sz="4" w:space="0"/>
              <w:bottom w:val="single" w:color="auto" w:sz="4" w:space="0"/>
              <w:right w:val="single" w:color="auto" w:sz="4" w:space="0"/>
            </w:tcBorders>
            <w:noWrap w:val="0"/>
            <w:vAlign w:val="center"/>
          </w:tcPr>
          <w:p w14:paraId="3A19509C">
            <w:pPr>
              <w:pStyle w:val="7"/>
              <w:snapToGrid w:val="0"/>
              <w:spacing w:line="320" w:lineRule="exact"/>
              <w:jc w:val="center"/>
              <w:rPr>
                <w:rFonts w:hint="eastAsia" w:hAnsi="宋体"/>
                <w:sz w:val="21"/>
                <w:szCs w:val="21"/>
                <w:highlight w:val="none"/>
              </w:rPr>
            </w:pPr>
            <w:r>
              <w:rPr>
                <w:rStyle w:val="16"/>
                <w:rFonts w:hint="eastAsia"/>
                <w:color w:val="auto"/>
                <w:highlight w:val="none"/>
              </w:rPr>
              <w:t>各评分因素细分项</w:t>
            </w:r>
          </w:p>
        </w:tc>
        <w:tc>
          <w:tcPr>
            <w:tcW w:w="810" w:type="dxa"/>
            <w:tcBorders>
              <w:left w:val="single" w:color="auto" w:sz="4" w:space="0"/>
            </w:tcBorders>
            <w:noWrap w:val="0"/>
            <w:vAlign w:val="center"/>
          </w:tcPr>
          <w:p w14:paraId="4D84F227">
            <w:pPr>
              <w:pStyle w:val="7"/>
              <w:snapToGrid w:val="0"/>
              <w:spacing w:line="320" w:lineRule="exact"/>
              <w:jc w:val="center"/>
              <w:rPr>
                <w:rFonts w:hint="eastAsia" w:hAnsi="宋体"/>
                <w:sz w:val="21"/>
                <w:szCs w:val="21"/>
                <w:highlight w:val="none"/>
              </w:rPr>
            </w:pPr>
            <w:r>
              <w:rPr>
                <w:rFonts w:hint="eastAsia" w:hAnsi="宋体"/>
                <w:sz w:val="21"/>
                <w:szCs w:val="21"/>
                <w:highlight w:val="none"/>
              </w:rPr>
              <w:t>分值</w:t>
            </w:r>
          </w:p>
        </w:tc>
        <w:tc>
          <w:tcPr>
            <w:tcW w:w="4984" w:type="dxa"/>
            <w:vMerge w:val="continue"/>
            <w:noWrap w:val="0"/>
            <w:vAlign w:val="center"/>
          </w:tcPr>
          <w:p w14:paraId="35E8CA60">
            <w:pPr>
              <w:pStyle w:val="7"/>
              <w:snapToGrid w:val="0"/>
              <w:spacing w:line="320" w:lineRule="exact"/>
              <w:jc w:val="center"/>
              <w:rPr>
                <w:rFonts w:hint="eastAsia" w:hAnsi="宋体"/>
                <w:sz w:val="21"/>
                <w:szCs w:val="21"/>
                <w:highlight w:val="none"/>
              </w:rPr>
            </w:pPr>
          </w:p>
        </w:tc>
      </w:tr>
      <w:tr w14:paraId="465E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bottom w:val="single" w:color="auto" w:sz="4" w:space="0"/>
            </w:tcBorders>
            <w:noWrap w:val="0"/>
            <w:vAlign w:val="center"/>
          </w:tcPr>
          <w:p w14:paraId="454AD723">
            <w:pPr>
              <w:pStyle w:val="7"/>
              <w:snapToGrid w:val="0"/>
              <w:spacing w:line="320" w:lineRule="exact"/>
              <w:jc w:val="center"/>
              <w:rPr>
                <w:rFonts w:hint="eastAsia" w:hAnsi="宋体"/>
                <w:sz w:val="21"/>
                <w:szCs w:val="21"/>
                <w:highlight w:val="none"/>
              </w:rPr>
            </w:pPr>
            <w:r>
              <w:rPr>
                <w:rFonts w:hint="eastAsia" w:hAnsi="宋体"/>
                <w:sz w:val="21"/>
                <w:szCs w:val="21"/>
                <w:highlight w:val="none"/>
              </w:rPr>
              <w:t>2.2.4（1）</w:t>
            </w:r>
          </w:p>
        </w:tc>
        <w:tc>
          <w:tcPr>
            <w:tcW w:w="741" w:type="dxa"/>
            <w:vMerge w:val="restart"/>
            <w:tcBorders>
              <w:top w:val="single" w:color="auto" w:sz="4" w:space="0"/>
              <w:bottom w:val="single" w:color="auto" w:sz="4" w:space="0"/>
            </w:tcBorders>
            <w:noWrap w:val="0"/>
            <w:vAlign w:val="center"/>
          </w:tcPr>
          <w:p w14:paraId="71F6086D">
            <w:pPr>
              <w:pStyle w:val="7"/>
              <w:snapToGrid w:val="0"/>
              <w:spacing w:line="320" w:lineRule="exact"/>
              <w:jc w:val="center"/>
              <w:rPr>
                <w:rFonts w:hint="eastAsia" w:hAnsi="宋体"/>
                <w:sz w:val="21"/>
                <w:szCs w:val="21"/>
                <w:highlight w:val="none"/>
              </w:rPr>
            </w:pPr>
            <w:r>
              <w:rPr>
                <w:rFonts w:hint="eastAsia" w:hAnsi="宋体"/>
                <w:sz w:val="21"/>
                <w:szCs w:val="21"/>
                <w:highlight w:val="none"/>
                <w:lang w:val="en-US" w:eastAsia="zh-CN"/>
              </w:rPr>
              <w:t>设计</w:t>
            </w:r>
            <w:r>
              <w:rPr>
                <w:rFonts w:hint="eastAsia" w:hAnsi="宋体"/>
                <w:sz w:val="21"/>
                <w:szCs w:val="21"/>
                <w:highlight w:val="none"/>
              </w:rPr>
              <w:t>方案</w:t>
            </w:r>
          </w:p>
        </w:tc>
        <w:tc>
          <w:tcPr>
            <w:tcW w:w="624" w:type="dxa"/>
            <w:vMerge w:val="restart"/>
            <w:tcBorders>
              <w:top w:val="single" w:color="auto" w:sz="4" w:space="0"/>
              <w:bottom w:val="single" w:color="auto" w:sz="4" w:space="0"/>
            </w:tcBorders>
            <w:noWrap w:val="0"/>
            <w:vAlign w:val="center"/>
          </w:tcPr>
          <w:p w14:paraId="612C5CCC">
            <w:pPr>
              <w:pStyle w:val="7"/>
              <w:snapToGrid w:val="0"/>
              <w:spacing w:line="320" w:lineRule="exact"/>
              <w:jc w:val="center"/>
              <w:rPr>
                <w:rFonts w:hint="eastAsia" w:hAnsi="宋体"/>
                <w:sz w:val="21"/>
                <w:szCs w:val="21"/>
                <w:highlight w:val="none"/>
              </w:rPr>
            </w:pPr>
            <w:r>
              <w:rPr>
                <w:rFonts w:hint="eastAsia" w:hAnsi="宋体"/>
                <w:sz w:val="21"/>
                <w:szCs w:val="21"/>
                <w:highlight w:val="none"/>
                <w:lang w:val="en-US" w:eastAsia="zh-CN"/>
              </w:rPr>
              <w:t>45</w:t>
            </w:r>
            <w:r>
              <w:rPr>
                <w:rFonts w:hint="eastAsia" w:hAnsi="宋体"/>
                <w:sz w:val="21"/>
                <w:szCs w:val="21"/>
                <w:highlight w:val="none"/>
              </w:rPr>
              <w:t>分</w:t>
            </w:r>
          </w:p>
        </w:tc>
        <w:tc>
          <w:tcPr>
            <w:tcW w:w="1752" w:type="dxa"/>
            <w:tcBorders>
              <w:top w:val="single" w:color="auto" w:sz="4" w:space="0"/>
            </w:tcBorders>
            <w:noWrap w:val="0"/>
            <w:vAlign w:val="center"/>
          </w:tcPr>
          <w:p w14:paraId="20DA663B">
            <w:pPr>
              <w:widowControl/>
              <w:spacing w:before="100" w:beforeAutospacing="1" w:after="100" w:afterAutospacing="1"/>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u w:val="none"/>
              </w:rPr>
              <w:t>主题演绎</w:t>
            </w:r>
          </w:p>
        </w:tc>
        <w:tc>
          <w:tcPr>
            <w:tcW w:w="810" w:type="dxa"/>
            <w:noWrap w:val="0"/>
            <w:vAlign w:val="center"/>
          </w:tcPr>
          <w:p w14:paraId="7F3F9384">
            <w:pPr>
              <w:autoSpaceDE w:val="0"/>
              <w:autoSpaceDN w:val="0"/>
              <w:snapToGrid w:val="0"/>
              <w:spacing w:line="320" w:lineRule="exact"/>
              <w:ind w:left="9" w:right="11"/>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4984" w:type="dxa"/>
            <w:noWrap w:val="0"/>
            <w:vAlign w:val="center"/>
          </w:tcPr>
          <w:p w14:paraId="388D749A">
            <w:pPr>
              <w:widowControl/>
              <w:spacing w:before="100" w:beforeAutospacing="1" w:after="100" w:afterAutospacing="1"/>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u w:val="none"/>
              </w:rPr>
              <w:t>优(</w:t>
            </w:r>
            <w:r>
              <w:rPr>
                <w:rFonts w:hint="eastAsia" w:ascii="宋体" w:hAnsi="宋体" w:eastAsia="宋体" w:cs="宋体"/>
                <w:sz w:val="21"/>
                <w:szCs w:val="21"/>
                <w:highlight w:val="none"/>
                <w:u w:val="none"/>
                <w:lang w:val="en-US" w:eastAsia="zh-CN"/>
              </w:rPr>
              <w:t>8-</w:t>
            </w:r>
            <w:r>
              <w:rPr>
                <w:rFonts w:hint="eastAsia" w:ascii="宋体" w:hAnsi="宋体" w:eastAsia="宋体" w:cs="宋体"/>
                <w:sz w:val="21"/>
                <w:szCs w:val="21"/>
                <w:highlight w:val="none"/>
                <w:u w:val="none"/>
              </w:rPr>
              <w:t>1</w:t>
            </w:r>
            <w:r>
              <w:rPr>
                <w:rFonts w:hint="eastAsia" w:ascii="宋体" w:hAnsi="宋体" w:eastAsia="宋体" w:cs="宋体"/>
                <w:sz w:val="21"/>
                <w:szCs w:val="21"/>
                <w:highlight w:val="none"/>
                <w:u w:val="none"/>
                <w:lang w:val="en-US" w:eastAsia="zh-CN"/>
              </w:rPr>
              <w:t>0</w:t>
            </w:r>
            <w:r>
              <w:rPr>
                <w:rFonts w:hint="eastAsia" w:ascii="宋体" w:hAnsi="宋体" w:eastAsia="宋体" w:cs="宋体"/>
                <w:sz w:val="21"/>
                <w:szCs w:val="21"/>
                <w:highlight w:val="none"/>
                <w:u w:val="none"/>
              </w:rPr>
              <w:t>分)：对</w:t>
            </w:r>
            <w:r>
              <w:rPr>
                <w:rFonts w:hint="eastAsia" w:ascii="宋体" w:hAnsi="宋体" w:eastAsia="宋体" w:cs="宋体"/>
                <w:sz w:val="21"/>
                <w:szCs w:val="21"/>
                <w:highlight w:val="none"/>
                <w:u w:val="none"/>
                <w:lang w:val="en-US" w:eastAsia="zh-CN"/>
              </w:rPr>
              <w:t>公司</w:t>
            </w:r>
            <w:r>
              <w:rPr>
                <w:rFonts w:hint="eastAsia" w:ascii="宋体" w:hAnsi="宋体" w:eastAsia="宋体" w:cs="宋体"/>
                <w:sz w:val="21"/>
                <w:szCs w:val="21"/>
                <w:highlight w:val="none"/>
                <w:u w:val="none"/>
              </w:rPr>
              <w:t>核心理念理解极为深刻、精准。“品牌叙事剧场”主线鲜明，“五大篇章”的创意诠释具有创新性和感染力，能显著升华原方案立意。</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rPr>
              <w:t>良(</w:t>
            </w:r>
            <w:r>
              <w:rPr>
                <w:rFonts w:hint="eastAsia" w:ascii="宋体" w:hAnsi="宋体" w:eastAsia="宋体" w:cs="宋体"/>
                <w:sz w:val="21"/>
                <w:szCs w:val="21"/>
                <w:highlight w:val="none"/>
                <w:u w:val="none"/>
                <w:lang w:val="en-US" w:eastAsia="zh-CN"/>
              </w:rPr>
              <w:t>6-8</w:t>
            </w:r>
            <w:r>
              <w:rPr>
                <w:rFonts w:hint="eastAsia" w:ascii="宋体" w:hAnsi="宋体" w:eastAsia="宋体" w:cs="宋体"/>
                <w:sz w:val="21"/>
                <w:szCs w:val="21"/>
                <w:highlight w:val="none"/>
                <w:u w:val="none"/>
              </w:rPr>
              <w:t>分)：理解较为深刻，能准确把握策展主线与篇章逻辑，创意诠释清晰合理，具有一定亮点。</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lang w:val="en-US" w:eastAsia="zh-CN"/>
              </w:rPr>
              <w:t>一般</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none"/>
                <w:lang w:val="en-US" w:eastAsia="zh-CN"/>
              </w:rPr>
              <w:t>6</w:t>
            </w:r>
            <w:r>
              <w:rPr>
                <w:rFonts w:hint="eastAsia" w:ascii="宋体" w:hAnsi="宋体" w:eastAsia="宋体" w:cs="宋体"/>
                <w:sz w:val="21"/>
                <w:szCs w:val="21"/>
                <w:highlight w:val="none"/>
                <w:u w:val="none"/>
              </w:rPr>
              <w:t>分)：理解基本正确，能围绕策展主线进行设计，但创意表现较为常规，缺乏突出亮点。</w:t>
            </w:r>
          </w:p>
        </w:tc>
      </w:tr>
      <w:tr w14:paraId="4EEA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bottom w:val="single" w:color="auto" w:sz="4" w:space="0"/>
            </w:tcBorders>
            <w:noWrap w:val="0"/>
            <w:vAlign w:val="center"/>
          </w:tcPr>
          <w:p w14:paraId="7FDA3FFF">
            <w:pPr>
              <w:pStyle w:val="7"/>
              <w:snapToGrid w:val="0"/>
              <w:spacing w:line="320" w:lineRule="exact"/>
              <w:jc w:val="center"/>
              <w:rPr>
                <w:rFonts w:hint="eastAsia" w:hAnsi="宋体"/>
                <w:sz w:val="21"/>
                <w:szCs w:val="21"/>
                <w:highlight w:val="none"/>
                <w:lang w:eastAsia="zh-CN"/>
              </w:rPr>
            </w:pPr>
          </w:p>
        </w:tc>
        <w:tc>
          <w:tcPr>
            <w:tcW w:w="741" w:type="dxa"/>
            <w:vMerge w:val="continue"/>
            <w:tcBorders>
              <w:top w:val="single" w:color="auto" w:sz="4" w:space="0"/>
              <w:bottom w:val="single" w:color="auto" w:sz="4" w:space="0"/>
            </w:tcBorders>
            <w:noWrap w:val="0"/>
            <w:vAlign w:val="center"/>
          </w:tcPr>
          <w:p w14:paraId="6585721E">
            <w:pPr>
              <w:pStyle w:val="7"/>
              <w:snapToGrid w:val="0"/>
              <w:spacing w:line="320" w:lineRule="exact"/>
              <w:jc w:val="center"/>
              <w:rPr>
                <w:rFonts w:hint="eastAsia" w:hAnsi="宋体"/>
                <w:sz w:val="21"/>
                <w:szCs w:val="21"/>
                <w:highlight w:val="none"/>
                <w:lang w:eastAsia="zh-CN"/>
              </w:rPr>
            </w:pPr>
          </w:p>
        </w:tc>
        <w:tc>
          <w:tcPr>
            <w:tcW w:w="624" w:type="dxa"/>
            <w:vMerge w:val="continue"/>
            <w:tcBorders>
              <w:top w:val="single" w:color="auto" w:sz="4" w:space="0"/>
              <w:bottom w:val="single" w:color="auto" w:sz="4" w:space="0"/>
            </w:tcBorders>
            <w:noWrap w:val="0"/>
            <w:vAlign w:val="center"/>
          </w:tcPr>
          <w:p w14:paraId="604B7867">
            <w:pPr>
              <w:pStyle w:val="7"/>
              <w:snapToGrid w:val="0"/>
              <w:spacing w:line="320" w:lineRule="exact"/>
              <w:jc w:val="center"/>
              <w:rPr>
                <w:rFonts w:hint="eastAsia" w:hAnsi="宋体"/>
                <w:sz w:val="21"/>
                <w:szCs w:val="21"/>
                <w:highlight w:val="none"/>
                <w:lang w:eastAsia="zh-CN"/>
              </w:rPr>
            </w:pPr>
          </w:p>
        </w:tc>
        <w:tc>
          <w:tcPr>
            <w:tcW w:w="1752" w:type="dxa"/>
            <w:noWrap w:val="0"/>
            <w:vAlign w:val="center"/>
          </w:tcPr>
          <w:p w14:paraId="2EA8537B">
            <w:pPr>
              <w:widowControl/>
              <w:spacing w:before="100" w:beforeAutospacing="1" w:after="100" w:afterAutospacing="1"/>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none"/>
              </w:rPr>
              <w:t>空间规划与参观体验</w:t>
            </w:r>
          </w:p>
        </w:tc>
        <w:tc>
          <w:tcPr>
            <w:tcW w:w="810" w:type="dxa"/>
            <w:noWrap w:val="0"/>
            <w:vAlign w:val="center"/>
          </w:tcPr>
          <w:p w14:paraId="3E88B226">
            <w:pPr>
              <w:pStyle w:val="7"/>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c>
          <w:tcPr>
            <w:tcW w:w="4984" w:type="dxa"/>
            <w:noWrap w:val="0"/>
            <w:vAlign w:val="center"/>
          </w:tcPr>
          <w:p w14:paraId="471DEFA4">
            <w:pPr>
              <w:widowControl/>
              <w:spacing w:before="100" w:beforeAutospacing="1" w:after="100" w:afterAutospacing="1"/>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u w:val="none"/>
              </w:rPr>
              <w:t>优(</w:t>
            </w:r>
            <w:r>
              <w:rPr>
                <w:rFonts w:hint="eastAsia" w:ascii="宋体" w:hAnsi="宋体" w:eastAsia="宋体" w:cs="宋体"/>
                <w:sz w:val="21"/>
                <w:szCs w:val="21"/>
                <w:highlight w:val="none"/>
                <w:u w:val="none"/>
                <w:lang w:val="en-US" w:eastAsia="zh-CN"/>
              </w:rPr>
              <w:t>12-</w:t>
            </w:r>
            <w:r>
              <w:rPr>
                <w:rFonts w:hint="eastAsia" w:ascii="宋体" w:hAnsi="宋体" w:eastAsia="宋体" w:cs="宋体"/>
                <w:sz w:val="21"/>
                <w:szCs w:val="21"/>
                <w:highlight w:val="none"/>
                <w:u w:val="none"/>
              </w:rPr>
              <w:t>15分)：空间布局极致优化，动线设计极为流畅且富有节奏感，能充分利用有限空间创造沉浸式体验。各功能区过渡自然，逻辑引导性强。</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rPr>
              <w:t>良(</w:t>
            </w:r>
            <w:r>
              <w:rPr>
                <w:rFonts w:hint="eastAsia" w:ascii="宋体" w:hAnsi="宋体" w:eastAsia="宋体" w:cs="宋体"/>
                <w:sz w:val="21"/>
                <w:szCs w:val="21"/>
                <w:highlight w:val="none"/>
                <w:u w:val="none"/>
                <w:lang w:val="en-US" w:eastAsia="zh-CN"/>
              </w:rPr>
              <w:t>9-</w:t>
            </w:r>
            <w:r>
              <w:rPr>
                <w:rFonts w:hint="eastAsia" w:ascii="宋体" w:hAnsi="宋体" w:eastAsia="宋体" w:cs="宋体"/>
                <w:sz w:val="21"/>
                <w:szCs w:val="21"/>
                <w:highlight w:val="none"/>
                <w:u w:val="none"/>
              </w:rPr>
              <w:t>1</w:t>
            </w:r>
            <w:r>
              <w:rPr>
                <w:rFonts w:hint="eastAsia" w:ascii="宋体" w:hAnsi="宋体" w:eastAsia="宋体" w:cs="宋体"/>
                <w:sz w:val="21"/>
                <w:szCs w:val="21"/>
                <w:highlight w:val="none"/>
                <w:u w:val="none"/>
                <w:lang w:val="en-US" w:eastAsia="zh-CN"/>
              </w:rPr>
              <w:t>2</w:t>
            </w:r>
            <w:r>
              <w:rPr>
                <w:rFonts w:hint="eastAsia" w:ascii="宋体" w:hAnsi="宋体" w:eastAsia="宋体" w:cs="宋体"/>
                <w:sz w:val="21"/>
                <w:szCs w:val="21"/>
                <w:highlight w:val="none"/>
                <w:u w:val="none"/>
              </w:rPr>
              <w:t>分)：空间规划合理，动线清晰流畅，功能区划分明确，能营造出良好的整体参观体验。</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lang w:val="en-US" w:eastAsia="zh-CN"/>
              </w:rPr>
              <w:t>一般</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none"/>
                <w:lang w:val="en-US" w:eastAsia="zh-CN"/>
              </w:rPr>
              <w:t>9</w:t>
            </w:r>
            <w:r>
              <w:rPr>
                <w:rFonts w:hint="eastAsia" w:ascii="宋体" w:hAnsi="宋体" w:eastAsia="宋体" w:cs="宋体"/>
                <w:sz w:val="21"/>
                <w:szCs w:val="21"/>
                <w:highlight w:val="none"/>
                <w:u w:val="none"/>
              </w:rPr>
              <w:t>分)：空间规划与动线设计基本合理，但存在局部空间利用不足或体验节奏平缓的问题。</w:t>
            </w:r>
          </w:p>
        </w:tc>
      </w:tr>
      <w:tr w14:paraId="667B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Borders>
              <w:top w:val="single" w:color="auto" w:sz="4" w:space="0"/>
              <w:bottom w:val="single" w:color="auto" w:sz="4" w:space="0"/>
            </w:tcBorders>
            <w:noWrap w:val="0"/>
            <w:vAlign w:val="center"/>
          </w:tcPr>
          <w:p w14:paraId="19F04108">
            <w:pPr>
              <w:pStyle w:val="7"/>
              <w:snapToGrid w:val="0"/>
              <w:spacing w:line="320" w:lineRule="exact"/>
              <w:jc w:val="center"/>
              <w:rPr>
                <w:rFonts w:hint="eastAsia" w:hAnsi="宋体"/>
                <w:sz w:val="21"/>
                <w:szCs w:val="21"/>
                <w:highlight w:val="none"/>
                <w:lang w:eastAsia="zh-CN"/>
              </w:rPr>
            </w:pPr>
          </w:p>
        </w:tc>
        <w:tc>
          <w:tcPr>
            <w:tcW w:w="741" w:type="dxa"/>
            <w:vMerge w:val="continue"/>
            <w:tcBorders>
              <w:top w:val="single" w:color="auto" w:sz="4" w:space="0"/>
              <w:bottom w:val="single" w:color="auto" w:sz="4" w:space="0"/>
            </w:tcBorders>
            <w:noWrap w:val="0"/>
            <w:vAlign w:val="center"/>
          </w:tcPr>
          <w:p w14:paraId="09053B35">
            <w:pPr>
              <w:pStyle w:val="7"/>
              <w:snapToGrid w:val="0"/>
              <w:spacing w:line="320" w:lineRule="exact"/>
              <w:jc w:val="center"/>
              <w:rPr>
                <w:rFonts w:hint="eastAsia" w:hAnsi="宋体"/>
                <w:sz w:val="21"/>
                <w:szCs w:val="21"/>
                <w:highlight w:val="none"/>
                <w:lang w:eastAsia="zh-CN"/>
              </w:rPr>
            </w:pPr>
          </w:p>
        </w:tc>
        <w:tc>
          <w:tcPr>
            <w:tcW w:w="624" w:type="dxa"/>
            <w:vMerge w:val="continue"/>
            <w:tcBorders>
              <w:top w:val="single" w:color="auto" w:sz="4" w:space="0"/>
              <w:bottom w:val="single" w:color="auto" w:sz="4" w:space="0"/>
            </w:tcBorders>
            <w:noWrap w:val="0"/>
            <w:vAlign w:val="center"/>
          </w:tcPr>
          <w:p w14:paraId="12C316DC">
            <w:pPr>
              <w:pStyle w:val="7"/>
              <w:snapToGrid w:val="0"/>
              <w:spacing w:line="320" w:lineRule="exact"/>
              <w:jc w:val="center"/>
              <w:rPr>
                <w:rFonts w:hint="eastAsia" w:hAnsi="宋体"/>
                <w:sz w:val="21"/>
                <w:szCs w:val="21"/>
                <w:highlight w:val="none"/>
                <w:lang w:eastAsia="zh-CN"/>
              </w:rPr>
            </w:pPr>
          </w:p>
        </w:tc>
        <w:tc>
          <w:tcPr>
            <w:tcW w:w="1752" w:type="dxa"/>
            <w:noWrap w:val="0"/>
            <w:vAlign w:val="center"/>
          </w:tcPr>
          <w:p w14:paraId="1F269742">
            <w:pPr>
              <w:widowControl/>
              <w:spacing w:before="100" w:beforeAutospacing="1" w:after="100" w:afterAutospacing="1"/>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u w:val="none"/>
              </w:rPr>
              <w:t>视觉呈现与艺术效果</w:t>
            </w:r>
          </w:p>
        </w:tc>
        <w:tc>
          <w:tcPr>
            <w:tcW w:w="810" w:type="dxa"/>
            <w:noWrap w:val="0"/>
            <w:vAlign w:val="center"/>
          </w:tcPr>
          <w:p w14:paraId="378FCE45">
            <w:pPr>
              <w:pStyle w:val="7"/>
              <w:snapToGrid w:val="0"/>
              <w:spacing w:line="320" w:lineRule="exact"/>
              <w:ind w:left="48" w:leftChars="-48" w:right="-27" w:rightChars="-15" w:hanging="134" w:hangingChars="64"/>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4984" w:type="dxa"/>
            <w:noWrap w:val="0"/>
            <w:vAlign w:val="center"/>
          </w:tcPr>
          <w:p w14:paraId="02CF1191">
            <w:pPr>
              <w:widowControl/>
              <w:spacing w:before="100" w:beforeAutospacing="1" w:after="100" w:afterAutospacing="1"/>
              <w:jc w:val="left"/>
              <w:rPr>
                <w:rFonts w:hint="eastAsia" w:ascii="宋体" w:hAnsi="宋体" w:eastAsia="宋体" w:cs="宋体"/>
                <w:kern w:val="2"/>
                <w:sz w:val="21"/>
                <w:szCs w:val="21"/>
                <w:highlight w:val="none"/>
                <w:lang w:eastAsia="zh-CN"/>
              </w:rPr>
            </w:pPr>
            <w:r>
              <w:rPr>
                <w:rFonts w:hint="eastAsia" w:ascii="宋体" w:hAnsi="宋体" w:eastAsia="宋体" w:cs="宋体"/>
                <w:sz w:val="21"/>
                <w:szCs w:val="21"/>
                <w:highlight w:val="none"/>
                <w:u w:val="none"/>
              </w:rPr>
              <w:t>优(</w:t>
            </w:r>
            <w:r>
              <w:rPr>
                <w:rFonts w:hint="eastAsia" w:ascii="宋体" w:hAnsi="宋体" w:eastAsia="宋体" w:cs="宋体"/>
                <w:sz w:val="21"/>
                <w:szCs w:val="21"/>
                <w:highlight w:val="none"/>
                <w:u w:val="none"/>
                <w:lang w:val="en-US" w:eastAsia="zh-CN"/>
              </w:rPr>
              <w:t>8-</w:t>
            </w:r>
            <w:r>
              <w:rPr>
                <w:rFonts w:hint="eastAsia" w:ascii="宋体" w:hAnsi="宋体" w:eastAsia="宋体" w:cs="宋体"/>
                <w:sz w:val="21"/>
                <w:szCs w:val="21"/>
                <w:highlight w:val="none"/>
                <w:u w:val="none"/>
              </w:rPr>
              <w:t>10分)：整体视觉风格高度统一且极具科技感、未来感，材质、色彩、灯光设计富有艺术美感与质感，效果图逼真且具视觉冲击力。</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rPr>
              <w:t>良(</w:t>
            </w:r>
            <w:r>
              <w:rPr>
                <w:rFonts w:hint="eastAsia" w:ascii="宋体" w:hAnsi="宋体" w:eastAsia="宋体" w:cs="宋体"/>
                <w:sz w:val="21"/>
                <w:szCs w:val="21"/>
                <w:highlight w:val="none"/>
                <w:u w:val="none"/>
                <w:lang w:val="en-US" w:eastAsia="zh-CN"/>
              </w:rPr>
              <w:t>6-8</w:t>
            </w:r>
            <w:r>
              <w:rPr>
                <w:rFonts w:hint="eastAsia" w:ascii="宋体" w:hAnsi="宋体" w:eastAsia="宋体" w:cs="宋体"/>
                <w:sz w:val="21"/>
                <w:szCs w:val="21"/>
                <w:highlight w:val="none"/>
                <w:u w:val="none"/>
              </w:rPr>
              <w:t>分)：视觉风格符合科技定位，效果协调，材质灯光设计得当，效果图质量较好。</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lang w:val="en-US" w:eastAsia="zh-CN"/>
              </w:rPr>
              <w:t>一般</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none"/>
                <w:lang w:val="en-US" w:eastAsia="zh-CN"/>
              </w:rPr>
              <w:t>6</w:t>
            </w:r>
            <w:r>
              <w:rPr>
                <w:rFonts w:hint="eastAsia" w:ascii="宋体" w:hAnsi="宋体" w:eastAsia="宋体" w:cs="宋体"/>
                <w:sz w:val="21"/>
                <w:szCs w:val="21"/>
                <w:highlight w:val="none"/>
                <w:u w:val="none"/>
              </w:rPr>
              <w:t>分)：视觉风格基本符合要求，但设计较为普通，缺乏特色，效果图表现力一般。</w:t>
            </w:r>
          </w:p>
        </w:tc>
      </w:tr>
      <w:tr w14:paraId="5D33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41" w:type="dxa"/>
            <w:vMerge w:val="continue"/>
            <w:tcBorders>
              <w:top w:val="single" w:color="auto" w:sz="4" w:space="0"/>
              <w:bottom w:val="single" w:color="auto" w:sz="4" w:space="0"/>
            </w:tcBorders>
            <w:noWrap w:val="0"/>
            <w:vAlign w:val="center"/>
          </w:tcPr>
          <w:p w14:paraId="7C1B64F1">
            <w:pPr>
              <w:pStyle w:val="7"/>
              <w:snapToGrid w:val="0"/>
              <w:spacing w:line="320" w:lineRule="exact"/>
              <w:jc w:val="center"/>
              <w:rPr>
                <w:rFonts w:hint="eastAsia" w:hAnsi="宋体"/>
                <w:sz w:val="21"/>
                <w:szCs w:val="21"/>
                <w:highlight w:val="none"/>
                <w:lang w:eastAsia="zh-CN"/>
              </w:rPr>
            </w:pPr>
          </w:p>
        </w:tc>
        <w:tc>
          <w:tcPr>
            <w:tcW w:w="741" w:type="dxa"/>
            <w:vMerge w:val="continue"/>
            <w:tcBorders>
              <w:top w:val="single" w:color="auto" w:sz="4" w:space="0"/>
              <w:bottom w:val="single" w:color="auto" w:sz="4" w:space="0"/>
            </w:tcBorders>
            <w:noWrap w:val="0"/>
            <w:vAlign w:val="center"/>
          </w:tcPr>
          <w:p w14:paraId="52036750">
            <w:pPr>
              <w:pStyle w:val="7"/>
              <w:snapToGrid w:val="0"/>
              <w:spacing w:line="320" w:lineRule="exact"/>
              <w:jc w:val="center"/>
              <w:rPr>
                <w:rFonts w:hint="eastAsia" w:hAnsi="宋体"/>
                <w:sz w:val="21"/>
                <w:szCs w:val="21"/>
                <w:highlight w:val="none"/>
                <w:lang w:eastAsia="zh-CN"/>
              </w:rPr>
            </w:pPr>
          </w:p>
        </w:tc>
        <w:tc>
          <w:tcPr>
            <w:tcW w:w="624" w:type="dxa"/>
            <w:vMerge w:val="continue"/>
            <w:tcBorders>
              <w:top w:val="single" w:color="auto" w:sz="4" w:space="0"/>
              <w:bottom w:val="single" w:color="auto" w:sz="4" w:space="0"/>
            </w:tcBorders>
            <w:noWrap w:val="0"/>
            <w:vAlign w:val="center"/>
          </w:tcPr>
          <w:p w14:paraId="59AD6B3E">
            <w:pPr>
              <w:pStyle w:val="7"/>
              <w:snapToGrid w:val="0"/>
              <w:spacing w:line="320" w:lineRule="exact"/>
              <w:jc w:val="center"/>
              <w:rPr>
                <w:rFonts w:hint="eastAsia" w:hAnsi="宋体"/>
                <w:sz w:val="21"/>
                <w:szCs w:val="21"/>
                <w:highlight w:val="none"/>
                <w:lang w:eastAsia="zh-CN"/>
              </w:rPr>
            </w:pPr>
          </w:p>
        </w:tc>
        <w:tc>
          <w:tcPr>
            <w:tcW w:w="1752" w:type="dxa"/>
            <w:tcBorders>
              <w:bottom w:val="single" w:color="auto" w:sz="4" w:space="0"/>
            </w:tcBorders>
            <w:noWrap w:val="0"/>
            <w:vAlign w:val="center"/>
          </w:tcPr>
          <w:p w14:paraId="0190D3AD">
            <w:pPr>
              <w:widowControl/>
              <w:spacing w:before="100" w:beforeAutospacing="1" w:after="100" w:afterAutospacing="1"/>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u w:val="none"/>
              </w:rPr>
              <w:t>展项内容创意与表现力</w:t>
            </w:r>
          </w:p>
        </w:tc>
        <w:tc>
          <w:tcPr>
            <w:tcW w:w="810" w:type="dxa"/>
            <w:tcBorders>
              <w:bottom w:val="single" w:color="auto" w:sz="4" w:space="0"/>
            </w:tcBorders>
            <w:noWrap w:val="0"/>
            <w:vAlign w:val="center"/>
          </w:tcPr>
          <w:p w14:paraId="3B61A4E6">
            <w:pPr>
              <w:pStyle w:val="8"/>
              <w:wordWrap w:val="0"/>
              <w:spacing w:before="210" w:beforeAutospacing="0" w:after="210" w:afterAutospacing="0" w:line="315" w:lineRule="atLeast"/>
              <w:ind w:firstLine="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4984" w:type="dxa"/>
            <w:tcBorders>
              <w:bottom w:val="single" w:color="auto" w:sz="4" w:space="0"/>
            </w:tcBorders>
            <w:noWrap w:val="0"/>
            <w:vAlign w:val="center"/>
          </w:tcPr>
          <w:p w14:paraId="12B88A20">
            <w:pPr>
              <w:widowControl/>
              <w:spacing w:before="100" w:beforeAutospacing="1" w:after="100" w:afterAutospacing="1"/>
              <w:jc w:val="left"/>
              <w:rPr>
                <w:rFonts w:hint="eastAsia" w:ascii="宋体" w:hAnsi="宋体" w:eastAsia="宋体" w:cs="宋体"/>
                <w:kern w:val="2"/>
                <w:sz w:val="21"/>
                <w:szCs w:val="21"/>
                <w:highlight w:val="none"/>
                <w:lang w:eastAsia="zh-CN"/>
              </w:rPr>
            </w:pPr>
            <w:r>
              <w:rPr>
                <w:rFonts w:hint="eastAsia" w:ascii="宋体" w:hAnsi="宋体" w:eastAsia="宋体" w:cs="宋体"/>
                <w:sz w:val="21"/>
                <w:szCs w:val="21"/>
                <w:highlight w:val="none"/>
                <w:u w:val="none"/>
              </w:rPr>
              <w:t>优(</w:t>
            </w:r>
            <w:r>
              <w:rPr>
                <w:rFonts w:hint="eastAsia" w:ascii="宋体" w:hAnsi="宋体" w:eastAsia="宋体" w:cs="宋体"/>
                <w:sz w:val="21"/>
                <w:szCs w:val="21"/>
                <w:highlight w:val="none"/>
                <w:u w:val="none"/>
                <w:lang w:val="en-US" w:eastAsia="zh-CN"/>
              </w:rPr>
              <w:t>8-10</w:t>
            </w:r>
            <w:r>
              <w:rPr>
                <w:rFonts w:hint="eastAsia" w:ascii="宋体" w:hAnsi="宋体" w:eastAsia="宋体" w:cs="宋体"/>
                <w:sz w:val="21"/>
                <w:szCs w:val="21"/>
                <w:highlight w:val="none"/>
                <w:u w:val="none"/>
              </w:rPr>
              <w:t>分)：核心展项创意新颖，表现形式与技术深度融合，能生动、直观、深刻地传达技术内涵与业务价值，预期观众互动性与记忆点强。</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rPr>
              <w:t>良(</w:t>
            </w:r>
            <w:r>
              <w:rPr>
                <w:rFonts w:hint="eastAsia" w:ascii="宋体" w:hAnsi="宋体" w:eastAsia="宋体" w:cs="宋体"/>
                <w:sz w:val="21"/>
                <w:szCs w:val="21"/>
                <w:highlight w:val="none"/>
                <w:u w:val="none"/>
                <w:lang w:val="en-US" w:eastAsia="zh-CN"/>
              </w:rPr>
              <w:t>6-8</w:t>
            </w:r>
            <w:r>
              <w:rPr>
                <w:rFonts w:hint="eastAsia" w:ascii="宋体" w:hAnsi="宋体" w:eastAsia="宋体" w:cs="宋体"/>
                <w:sz w:val="21"/>
                <w:szCs w:val="21"/>
                <w:highlight w:val="none"/>
                <w:u w:val="none"/>
              </w:rPr>
              <w:t>分)：展项设计合理，能有效结合技术进行内容展示，表现形式清晰，具有一定的互动性和吸引力。</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lang w:val="en-US" w:eastAsia="zh-CN"/>
              </w:rPr>
              <w:t>一般</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none"/>
                <w:lang w:val="en-US" w:eastAsia="zh-CN"/>
              </w:rPr>
              <w:t>6</w:t>
            </w:r>
            <w:r>
              <w:rPr>
                <w:rFonts w:hint="eastAsia" w:ascii="宋体" w:hAnsi="宋体" w:eastAsia="宋体" w:cs="宋体"/>
                <w:sz w:val="21"/>
                <w:szCs w:val="21"/>
                <w:highlight w:val="none"/>
                <w:u w:val="none"/>
              </w:rPr>
              <w:t>分)：展项设计满足基本展示功能，但形式较为传统，创意不足，互动性与表现力一般。</w:t>
            </w:r>
          </w:p>
        </w:tc>
      </w:tr>
      <w:tr w14:paraId="0EE1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41" w:type="dxa"/>
            <w:vMerge w:val="restart"/>
            <w:tcBorders>
              <w:top w:val="single" w:color="auto" w:sz="4" w:space="0"/>
            </w:tcBorders>
            <w:noWrap w:val="0"/>
            <w:vAlign w:val="center"/>
          </w:tcPr>
          <w:p w14:paraId="66C7ADE1">
            <w:pPr>
              <w:adjustRightInd w:val="0"/>
              <w:jc w:val="left"/>
              <w:rPr>
                <w:rFonts w:hint="eastAsia" w:hAnsi="宋体"/>
                <w:sz w:val="21"/>
                <w:szCs w:val="21"/>
                <w:highlight w:val="none"/>
              </w:rPr>
            </w:pPr>
            <w:r>
              <w:rPr>
                <w:rFonts w:hint="eastAsia" w:ascii="宋体" w:hAnsi="宋体" w:eastAsia="宋体" w:cs="宋体"/>
                <w:sz w:val="21"/>
                <w:szCs w:val="21"/>
                <w:highlight w:val="none"/>
              </w:rPr>
              <w:t>2.2.4（2</w:t>
            </w:r>
            <w:r>
              <w:rPr>
                <w:rFonts w:hint="eastAsia" w:hAnsi="宋体"/>
                <w:sz w:val="21"/>
                <w:szCs w:val="21"/>
                <w:highlight w:val="none"/>
              </w:rPr>
              <w:t>）</w:t>
            </w:r>
          </w:p>
        </w:tc>
        <w:tc>
          <w:tcPr>
            <w:tcW w:w="741" w:type="dxa"/>
            <w:vMerge w:val="restart"/>
            <w:tcBorders>
              <w:top w:val="single" w:color="auto" w:sz="4" w:space="0"/>
            </w:tcBorders>
            <w:noWrap w:val="0"/>
            <w:vAlign w:val="center"/>
          </w:tcPr>
          <w:p w14:paraId="3BAEC705">
            <w:pPr>
              <w:pStyle w:val="7"/>
              <w:snapToGrid w:val="0"/>
              <w:spacing w:line="320" w:lineRule="exact"/>
              <w:jc w:val="center"/>
              <w:rPr>
                <w:rFonts w:hint="eastAsia" w:hAnsi="宋体" w:eastAsia="宋体"/>
                <w:sz w:val="21"/>
                <w:szCs w:val="21"/>
                <w:highlight w:val="none"/>
                <w:lang w:eastAsia="zh-CN"/>
              </w:rPr>
            </w:pPr>
            <w:r>
              <w:rPr>
                <w:rFonts w:hint="eastAsia" w:hAnsi="宋体"/>
                <w:sz w:val="21"/>
                <w:szCs w:val="21"/>
                <w:highlight w:val="none"/>
                <w:lang w:val="en-US" w:eastAsia="zh-CN"/>
              </w:rPr>
              <w:t>实施方案</w:t>
            </w:r>
          </w:p>
        </w:tc>
        <w:tc>
          <w:tcPr>
            <w:tcW w:w="624" w:type="dxa"/>
            <w:vMerge w:val="restart"/>
            <w:tcBorders>
              <w:top w:val="single" w:color="auto" w:sz="4" w:space="0"/>
            </w:tcBorders>
            <w:noWrap w:val="0"/>
            <w:vAlign w:val="center"/>
          </w:tcPr>
          <w:p w14:paraId="10285910">
            <w:pPr>
              <w:pStyle w:val="7"/>
              <w:snapToGrid w:val="0"/>
              <w:spacing w:line="320" w:lineRule="exact"/>
              <w:jc w:val="center"/>
              <w:rPr>
                <w:rFonts w:hint="eastAsia" w:hAnsi="宋体"/>
                <w:sz w:val="21"/>
                <w:szCs w:val="21"/>
                <w:highlight w:val="none"/>
              </w:rPr>
            </w:pPr>
            <w:r>
              <w:rPr>
                <w:rFonts w:hint="eastAsia" w:hAnsi="宋体"/>
                <w:sz w:val="21"/>
                <w:szCs w:val="21"/>
                <w:highlight w:val="none"/>
                <w:lang w:eastAsia="zh-CN"/>
              </w:rPr>
              <w:t>1</w:t>
            </w:r>
            <w:r>
              <w:rPr>
                <w:rFonts w:hint="eastAsia" w:hAnsi="宋体"/>
                <w:sz w:val="21"/>
                <w:szCs w:val="21"/>
                <w:highlight w:val="none"/>
                <w:lang w:val="en-US" w:eastAsia="zh-CN"/>
              </w:rPr>
              <w:t>5</w:t>
            </w:r>
            <w:r>
              <w:rPr>
                <w:rFonts w:hint="eastAsia" w:hAnsi="宋体"/>
                <w:sz w:val="21"/>
                <w:szCs w:val="21"/>
                <w:highlight w:val="none"/>
              </w:rPr>
              <w:t>分</w:t>
            </w:r>
          </w:p>
        </w:tc>
        <w:tc>
          <w:tcPr>
            <w:tcW w:w="1752" w:type="dxa"/>
            <w:noWrap w:val="0"/>
            <w:vAlign w:val="center"/>
          </w:tcPr>
          <w:p w14:paraId="37372541">
            <w:pPr>
              <w:adjustRightInd w:val="0"/>
              <w:snapToGrid w:val="0"/>
              <w:jc w:val="center"/>
              <w:rPr>
                <w:rFonts w:hint="eastAsia" w:ascii="宋体" w:hAnsi="宋体" w:eastAsia="宋体" w:cs="宋体"/>
                <w:kern w:val="2"/>
                <w:sz w:val="21"/>
                <w:szCs w:val="21"/>
                <w:highlight w:val="none"/>
              </w:rPr>
            </w:pPr>
            <w:r>
              <w:rPr>
                <w:rFonts w:hint="eastAsia" w:cs="宋体"/>
                <w:color w:val="000000"/>
                <w:kern w:val="0"/>
                <w:highlight w:val="none"/>
                <w:u w:val="none"/>
              </w:rPr>
              <w:t>项目组织与质量保障措施</w:t>
            </w:r>
          </w:p>
        </w:tc>
        <w:tc>
          <w:tcPr>
            <w:tcW w:w="810" w:type="dxa"/>
            <w:noWrap w:val="0"/>
            <w:vAlign w:val="center"/>
          </w:tcPr>
          <w:p w14:paraId="745D45AB">
            <w:pPr>
              <w:pStyle w:val="7"/>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4984" w:type="dxa"/>
            <w:tcBorders>
              <w:bottom w:val="single" w:color="auto" w:sz="4" w:space="0"/>
            </w:tcBorders>
            <w:noWrap w:val="0"/>
            <w:vAlign w:val="center"/>
          </w:tcPr>
          <w:p w14:paraId="0A66AD39">
            <w:pPr>
              <w:adjustRightInd w:val="0"/>
              <w:snapToGrid w:val="0"/>
              <w:jc w:val="left"/>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优 (</w:t>
            </w:r>
            <w:r>
              <w:rPr>
                <w:rFonts w:hint="eastAsia" w:ascii="宋体" w:hAnsi="宋体" w:eastAsia="宋体" w:cs="宋体"/>
                <w:sz w:val="21"/>
                <w:szCs w:val="21"/>
                <w:highlight w:val="none"/>
                <w:lang w:val="en-US" w:eastAsia="zh-CN"/>
              </w:rPr>
              <w:t>8-10</w:t>
            </w:r>
            <w:r>
              <w:rPr>
                <w:rFonts w:hint="eastAsia" w:ascii="宋体" w:hAnsi="宋体" w:eastAsia="宋体" w:cs="宋体"/>
                <w:sz w:val="21"/>
                <w:szCs w:val="21"/>
                <w:highlight w:val="none"/>
                <w:lang w:val="zh-CN" w:eastAsia="zh-CN"/>
              </w:rPr>
              <w:t>分)：施工组织设计周密，进度计划科学严谨，关键节点明确。质量、安全、环保控制体系完善，措施具体得力。</w:t>
            </w:r>
          </w:p>
          <w:p w14:paraId="67A0AC19">
            <w:pPr>
              <w:adjustRightInd w:val="0"/>
              <w:snapToGrid w:val="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zh-CN" w:eastAsia="zh-CN"/>
              </w:rPr>
              <w:t xml:space="preserve">良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6-8</w:t>
            </w:r>
            <w:r>
              <w:rPr>
                <w:rFonts w:hint="eastAsia" w:ascii="宋体" w:hAnsi="宋体" w:eastAsia="宋体" w:cs="宋体"/>
                <w:sz w:val="21"/>
                <w:szCs w:val="21"/>
                <w:highlight w:val="none"/>
                <w:lang w:val="zh-CN" w:eastAsia="zh-CN"/>
              </w:rPr>
              <w:t>分)：项目组织计划合理，有明确的质量安全保障措施。</w:t>
            </w:r>
            <w:r>
              <w:rPr>
                <w:rFonts w:hint="eastAsia" w:ascii="宋体" w:hAnsi="宋体" w:eastAsia="宋体" w:cs="宋体"/>
                <w:sz w:val="21"/>
                <w:szCs w:val="21"/>
                <w:highlight w:val="none"/>
                <w:lang w:val="zh-CN" w:eastAsia="zh-CN"/>
              </w:rPr>
              <w:br w:type="textWrapping"/>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lang w:val="zh-CN" w:eastAsia="zh-CN"/>
              </w:rPr>
              <w:t xml:space="preserve"> (</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eastAsia="zh-CN"/>
              </w:rPr>
              <w:t>分)：项目组织混乱，缺乏有效的保障措施。</w:t>
            </w:r>
          </w:p>
        </w:tc>
      </w:tr>
      <w:tr w14:paraId="1381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41" w:type="dxa"/>
            <w:vMerge w:val="continue"/>
            <w:noWrap w:val="0"/>
            <w:vAlign w:val="center"/>
          </w:tcPr>
          <w:p w14:paraId="5D572E13">
            <w:pPr>
              <w:pStyle w:val="7"/>
              <w:snapToGrid w:val="0"/>
              <w:spacing w:line="320" w:lineRule="exact"/>
              <w:jc w:val="center"/>
              <w:rPr>
                <w:rFonts w:hint="eastAsia" w:hAnsi="宋体"/>
                <w:sz w:val="21"/>
                <w:szCs w:val="21"/>
                <w:highlight w:val="none"/>
              </w:rPr>
            </w:pPr>
          </w:p>
        </w:tc>
        <w:tc>
          <w:tcPr>
            <w:tcW w:w="741" w:type="dxa"/>
            <w:vMerge w:val="continue"/>
            <w:noWrap w:val="0"/>
            <w:vAlign w:val="center"/>
          </w:tcPr>
          <w:p w14:paraId="2829F6D2">
            <w:pPr>
              <w:pStyle w:val="7"/>
              <w:snapToGrid w:val="0"/>
              <w:spacing w:line="320" w:lineRule="exact"/>
              <w:jc w:val="center"/>
              <w:rPr>
                <w:rFonts w:hint="eastAsia" w:hAnsi="宋体"/>
                <w:sz w:val="21"/>
                <w:szCs w:val="21"/>
                <w:highlight w:val="none"/>
                <w:lang w:val="en-US" w:eastAsia="zh-CN"/>
              </w:rPr>
            </w:pPr>
          </w:p>
        </w:tc>
        <w:tc>
          <w:tcPr>
            <w:tcW w:w="624" w:type="dxa"/>
            <w:vMerge w:val="continue"/>
            <w:noWrap w:val="0"/>
            <w:vAlign w:val="center"/>
          </w:tcPr>
          <w:p w14:paraId="2A754054">
            <w:pPr>
              <w:pStyle w:val="7"/>
              <w:snapToGrid w:val="0"/>
              <w:spacing w:line="320" w:lineRule="exact"/>
              <w:jc w:val="center"/>
              <w:rPr>
                <w:rFonts w:hint="eastAsia" w:hAnsi="宋体"/>
                <w:sz w:val="21"/>
                <w:szCs w:val="21"/>
                <w:highlight w:val="none"/>
                <w:lang w:eastAsia="zh-CN"/>
              </w:rPr>
            </w:pPr>
          </w:p>
        </w:tc>
        <w:tc>
          <w:tcPr>
            <w:tcW w:w="1752" w:type="dxa"/>
            <w:noWrap w:val="0"/>
            <w:vAlign w:val="center"/>
          </w:tcPr>
          <w:p w14:paraId="767B1E21">
            <w:pPr>
              <w:adjustRightInd w:val="0"/>
              <w:snapToGrid w:val="0"/>
              <w:jc w:val="center"/>
              <w:rPr>
                <w:rFonts w:hint="eastAsia" w:ascii="宋体" w:hAnsi="宋体" w:eastAsia="宋体" w:cs="宋体"/>
                <w:kern w:val="2"/>
                <w:sz w:val="21"/>
                <w:szCs w:val="21"/>
                <w:highlight w:val="none"/>
                <w:lang w:eastAsia="zh-CN"/>
              </w:rPr>
            </w:pPr>
            <w:r>
              <w:rPr>
                <w:rFonts w:hint="eastAsia" w:ascii="宋体" w:hAnsi="宋体" w:eastAsia="宋体" w:cs="宋体"/>
                <w:kern w:val="0"/>
                <w:sz w:val="21"/>
                <w:szCs w:val="21"/>
                <w:highlight w:val="none"/>
                <w:u w:val="none"/>
              </w:rPr>
              <w:t>服务承诺与售后方案</w:t>
            </w:r>
          </w:p>
        </w:tc>
        <w:tc>
          <w:tcPr>
            <w:tcW w:w="810" w:type="dxa"/>
            <w:noWrap w:val="0"/>
            <w:vAlign w:val="center"/>
          </w:tcPr>
          <w:p w14:paraId="7810F01E">
            <w:pPr>
              <w:pStyle w:val="7"/>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4984" w:type="dxa"/>
            <w:tcBorders>
              <w:bottom w:val="single" w:color="auto" w:sz="4" w:space="0"/>
            </w:tcBorders>
            <w:noWrap w:val="0"/>
            <w:vAlign w:val="center"/>
          </w:tcPr>
          <w:p w14:paraId="33F904EE">
            <w:pPr>
              <w:adjustRightInd w:val="0"/>
              <w:snapToGrid w:val="0"/>
              <w:jc w:val="left"/>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优(</w:t>
            </w:r>
            <w:r>
              <w:rPr>
                <w:rFonts w:hint="eastAsia" w:ascii="宋体" w:hAnsi="宋体" w:eastAsia="宋体" w:cs="宋体"/>
                <w:sz w:val="21"/>
                <w:szCs w:val="21"/>
                <w:highlight w:val="none"/>
                <w:u w:val="none"/>
                <w:lang w:val="en-US" w:eastAsia="zh-CN"/>
              </w:rPr>
              <w:t>4-5</w:t>
            </w:r>
            <w:r>
              <w:rPr>
                <w:rFonts w:hint="eastAsia" w:ascii="宋体" w:hAnsi="宋体" w:eastAsia="宋体" w:cs="宋体"/>
                <w:sz w:val="21"/>
                <w:szCs w:val="21"/>
                <w:highlight w:val="none"/>
                <w:u w:val="none"/>
              </w:rPr>
              <w:t>分)：承诺全面、系统且极具保障力。提供自竣工验收合格之日起不少于</w:t>
            </w:r>
            <w:r>
              <w:rPr>
                <w:rFonts w:hint="eastAsia" w:ascii="宋体" w:hAnsi="宋体" w:eastAsia="宋体" w:cs="宋体"/>
                <w:sz w:val="21"/>
                <w:szCs w:val="21"/>
                <w:highlight w:val="none"/>
                <w:u w:val="none"/>
                <w:lang w:val="en-US" w:eastAsia="zh-CN"/>
              </w:rPr>
              <w:t>1</w:t>
            </w:r>
            <w:r>
              <w:rPr>
                <w:rFonts w:hint="eastAsia" w:ascii="宋体" w:hAnsi="宋体" w:eastAsia="宋体" w:cs="宋体"/>
                <w:sz w:val="21"/>
                <w:szCs w:val="21"/>
                <w:highlight w:val="none"/>
                <w:u w:val="none"/>
              </w:rPr>
              <w:t>年的质保期，范围覆盖所有硬件、软件及系统集成。</w:t>
            </w:r>
          </w:p>
          <w:p w14:paraId="6382E671">
            <w:pPr>
              <w:adjustRightInd w:val="0"/>
              <w:snapToGrid w:val="0"/>
              <w:jc w:val="lef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u w:val="none"/>
              </w:rPr>
              <w:t>良(</w:t>
            </w:r>
            <w:r>
              <w:rPr>
                <w:rFonts w:hint="eastAsia" w:ascii="宋体" w:hAnsi="宋体" w:eastAsia="宋体" w:cs="宋体"/>
                <w:sz w:val="21"/>
                <w:szCs w:val="21"/>
                <w:highlight w:val="none"/>
                <w:u w:val="none"/>
                <w:lang w:val="en-US" w:eastAsia="zh-CN"/>
              </w:rPr>
              <w:t>3-4</w:t>
            </w:r>
            <w:r>
              <w:rPr>
                <w:rFonts w:hint="eastAsia" w:ascii="宋体" w:hAnsi="宋体" w:eastAsia="宋体" w:cs="宋体"/>
                <w:sz w:val="21"/>
                <w:szCs w:val="21"/>
                <w:highlight w:val="none"/>
                <w:u w:val="none"/>
              </w:rPr>
              <w:t>分)：承诺完整、可行，满足项目基本要求。</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lang w:val="en-US" w:eastAsia="zh-CN"/>
              </w:rPr>
              <w:t>一般</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none"/>
                <w:lang w:val="en-US" w:eastAsia="zh-CN"/>
              </w:rPr>
              <w:t>3</w:t>
            </w:r>
            <w:r>
              <w:rPr>
                <w:rFonts w:hint="eastAsia" w:ascii="宋体" w:hAnsi="宋体" w:eastAsia="宋体" w:cs="宋体"/>
                <w:sz w:val="21"/>
                <w:szCs w:val="21"/>
                <w:highlight w:val="none"/>
                <w:u w:val="none"/>
              </w:rPr>
              <w:t>分)：承诺基本完整，但部分措施不够具体或保障力度一般。</w:t>
            </w:r>
          </w:p>
        </w:tc>
      </w:tr>
      <w:tr w14:paraId="6ED7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41" w:type="dxa"/>
            <w:tcBorders>
              <w:top w:val="nil"/>
            </w:tcBorders>
            <w:noWrap w:val="0"/>
            <w:vAlign w:val="center"/>
          </w:tcPr>
          <w:p w14:paraId="7E625307">
            <w:pPr>
              <w:pStyle w:val="7"/>
              <w:snapToGrid w:val="0"/>
              <w:spacing w:line="320" w:lineRule="exact"/>
              <w:jc w:val="center"/>
              <w:rPr>
                <w:rFonts w:hint="eastAsia" w:hAnsi="宋体"/>
                <w:sz w:val="21"/>
                <w:szCs w:val="21"/>
                <w:highlight w:val="none"/>
              </w:rPr>
            </w:pPr>
            <w:r>
              <w:rPr>
                <w:rFonts w:hint="eastAsia" w:hAnsi="宋体"/>
                <w:sz w:val="21"/>
                <w:szCs w:val="21"/>
                <w:highlight w:val="none"/>
              </w:rPr>
              <w:t>2.2.4（3）</w:t>
            </w:r>
          </w:p>
        </w:tc>
        <w:tc>
          <w:tcPr>
            <w:tcW w:w="741" w:type="dxa"/>
            <w:tcBorders>
              <w:top w:val="nil"/>
            </w:tcBorders>
            <w:noWrap w:val="0"/>
            <w:vAlign w:val="center"/>
          </w:tcPr>
          <w:p w14:paraId="50B498EB">
            <w:pPr>
              <w:pStyle w:val="7"/>
              <w:snapToGrid w:val="0"/>
              <w:spacing w:line="320" w:lineRule="exact"/>
              <w:jc w:val="center"/>
              <w:rPr>
                <w:rFonts w:hint="eastAsia" w:hAnsi="宋体"/>
                <w:sz w:val="21"/>
                <w:szCs w:val="21"/>
                <w:highlight w:val="none"/>
              </w:rPr>
            </w:pPr>
            <w:r>
              <w:rPr>
                <w:rFonts w:hint="eastAsia" w:hAnsi="宋体"/>
                <w:sz w:val="21"/>
                <w:szCs w:val="21"/>
                <w:highlight w:val="none"/>
              </w:rPr>
              <w:t>评标价</w:t>
            </w:r>
          </w:p>
        </w:tc>
        <w:tc>
          <w:tcPr>
            <w:tcW w:w="624" w:type="dxa"/>
            <w:tcBorders>
              <w:top w:val="nil"/>
              <w:bottom w:val="single" w:color="auto" w:sz="4" w:space="0"/>
            </w:tcBorders>
            <w:noWrap w:val="0"/>
            <w:vAlign w:val="center"/>
          </w:tcPr>
          <w:p w14:paraId="3A44E241">
            <w:pPr>
              <w:pStyle w:val="7"/>
              <w:snapToGrid w:val="0"/>
              <w:spacing w:line="320" w:lineRule="exact"/>
              <w:jc w:val="center"/>
              <w:rPr>
                <w:rFonts w:hint="eastAsia" w:hAnsi="宋体"/>
                <w:sz w:val="21"/>
                <w:szCs w:val="21"/>
                <w:highlight w:val="none"/>
              </w:rPr>
            </w:pPr>
            <w:r>
              <w:rPr>
                <w:rFonts w:hint="eastAsia" w:hAnsi="宋体"/>
                <w:sz w:val="21"/>
                <w:szCs w:val="21"/>
                <w:highlight w:val="none"/>
              </w:rPr>
              <w:t>30分</w:t>
            </w:r>
          </w:p>
        </w:tc>
        <w:tc>
          <w:tcPr>
            <w:tcW w:w="7546" w:type="dxa"/>
            <w:gridSpan w:val="3"/>
            <w:tcBorders>
              <w:bottom w:val="single" w:color="auto" w:sz="4" w:space="0"/>
            </w:tcBorders>
            <w:noWrap w:val="0"/>
            <w:vAlign w:val="center"/>
          </w:tcPr>
          <w:p w14:paraId="5E71A417">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评标价得分计算公式：</w:t>
            </w:r>
          </w:p>
          <w:p w14:paraId="683D93AC">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（1）如果投标人的评标价＞评标基准价，则评标价得分=F-（投标人评标价-评标基准价）/评标基准价×100×E1；</w:t>
            </w:r>
          </w:p>
          <w:p w14:paraId="29248A87">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（2）如果投标人的评标价≤评标基准价，则评标价得分=F+（投标人评标价-评标基准价）/评标基准价×100×E2。</w:t>
            </w:r>
          </w:p>
          <w:p w14:paraId="0CCBEBC0">
            <w:pPr>
              <w:snapToGrid w:val="0"/>
              <w:spacing w:line="320" w:lineRule="exact"/>
              <w:rPr>
                <w:rFonts w:hint="eastAsia" w:ascii="宋体" w:hAnsi="宋体"/>
                <w:kern w:val="2"/>
                <w:sz w:val="21"/>
                <w:szCs w:val="21"/>
                <w:highlight w:val="none"/>
              </w:rPr>
            </w:pPr>
            <w:r>
              <w:rPr>
                <w:rFonts w:hint="eastAsia" w:ascii="宋体" w:hAnsi="宋体"/>
                <w:kern w:val="2"/>
                <w:sz w:val="21"/>
                <w:szCs w:val="21"/>
                <w:highlight w:val="none"/>
                <w:lang w:eastAsia="zh-CN"/>
              </w:rPr>
              <w:t>其中，F=30；E1=0.4；E2=0.2；评标价最低得分为0分。</w:t>
            </w:r>
            <w:r>
              <w:rPr>
                <w:rFonts w:hint="eastAsia" w:ascii="宋体" w:hAnsi="宋体"/>
                <w:kern w:val="2"/>
                <w:sz w:val="21"/>
                <w:szCs w:val="21"/>
                <w:highlight w:val="none"/>
              </w:rPr>
              <w:t>得分保留两位小数。</w:t>
            </w:r>
          </w:p>
        </w:tc>
      </w:tr>
      <w:tr w14:paraId="2FA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41" w:type="dxa"/>
            <w:noWrap w:val="0"/>
            <w:vAlign w:val="center"/>
          </w:tcPr>
          <w:p w14:paraId="215A3602">
            <w:pPr>
              <w:pStyle w:val="7"/>
              <w:snapToGrid w:val="0"/>
              <w:spacing w:line="320" w:lineRule="exact"/>
              <w:jc w:val="center"/>
              <w:rPr>
                <w:rFonts w:hint="eastAsia" w:hAnsi="宋体"/>
                <w:sz w:val="21"/>
                <w:szCs w:val="21"/>
                <w:highlight w:val="none"/>
              </w:rPr>
            </w:pPr>
            <w:r>
              <w:rPr>
                <w:rFonts w:hint="eastAsia" w:hAnsi="宋体"/>
                <w:sz w:val="21"/>
                <w:szCs w:val="21"/>
                <w:highlight w:val="none"/>
              </w:rPr>
              <w:t>2.2.4（4）</w:t>
            </w:r>
          </w:p>
        </w:tc>
        <w:tc>
          <w:tcPr>
            <w:tcW w:w="741" w:type="dxa"/>
            <w:noWrap w:val="0"/>
            <w:vAlign w:val="center"/>
          </w:tcPr>
          <w:p w14:paraId="6406430B">
            <w:pPr>
              <w:pStyle w:val="7"/>
              <w:snapToGrid w:val="0"/>
              <w:spacing w:line="320" w:lineRule="exact"/>
              <w:jc w:val="center"/>
              <w:rPr>
                <w:rFonts w:hint="eastAsia" w:hAnsi="宋体"/>
                <w:sz w:val="21"/>
                <w:szCs w:val="21"/>
                <w:highlight w:val="none"/>
              </w:rPr>
            </w:pPr>
            <w:r>
              <w:rPr>
                <w:rFonts w:hint="eastAsia" w:hAnsi="宋体"/>
                <w:sz w:val="21"/>
                <w:szCs w:val="21"/>
                <w:highlight w:val="none"/>
              </w:rPr>
              <w:t>其他因素</w:t>
            </w:r>
          </w:p>
        </w:tc>
        <w:tc>
          <w:tcPr>
            <w:tcW w:w="624" w:type="dxa"/>
            <w:tcBorders>
              <w:top w:val="single" w:color="auto" w:sz="4" w:space="0"/>
            </w:tcBorders>
            <w:noWrap w:val="0"/>
            <w:vAlign w:val="center"/>
          </w:tcPr>
          <w:p w14:paraId="340112C5">
            <w:pPr>
              <w:pStyle w:val="7"/>
              <w:snapToGrid w:val="0"/>
              <w:spacing w:line="320" w:lineRule="exact"/>
              <w:jc w:val="center"/>
              <w:rPr>
                <w:rFonts w:hint="eastAsia" w:hAnsi="宋体"/>
                <w:sz w:val="21"/>
                <w:szCs w:val="21"/>
                <w:highlight w:val="none"/>
              </w:rPr>
            </w:pPr>
            <w:r>
              <w:rPr>
                <w:rFonts w:hint="eastAsia" w:hAnsi="宋体"/>
                <w:sz w:val="21"/>
                <w:szCs w:val="21"/>
                <w:highlight w:val="none"/>
                <w:lang w:val="en-US" w:eastAsia="zh-CN"/>
              </w:rPr>
              <w:t>10</w:t>
            </w:r>
            <w:r>
              <w:rPr>
                <w:rFonts w:hint="eastAsia" w:hAnsi="宋体"/>
                <w:sz w:val="21"/>
                <w:szCs w:val="21"/>
                <w:highlight w:val="none"/>
              </w:rPr>
              <w:t>分</w:t>
            </w:r>
          </w:p>
        </w:tc>
        <w:tc>
          <w:tcPr>
            <w:tcW w:w="1752" w:type="dxa"/>
            <w:tcBorders>
              <w:top w:val="single" w:color="auto" w:sz="4" w:space="0"/>
              <w:bottom w:val="single" w:color="auto" w:sz="4" w:space="0"/>
            </w:tcBorders>
            <w:noWrap w:val="0"/>
            <w:vAlign w:val="center"/>
          </w:tcPr>
          <w:p w14:paraId="4984AF62">
            <w:pPr>
              <w:pStyle w:val="7"/>
              <w:snapToGrid w:val="0"/>
              <w:spacing w:line="320" w:lineRule="exact"/>
              <w:jc w:val="center"/>
              <w:rPr>
                <w:rFonts w:hint="eastAsia" w:hAnsi="宋体"/>
                <w:sz w:val="21"/>
                <w:szCs w:val="21"/>
                <w:highlight w:val="none"/>
              </w:rPr>
            </w:pPr>
            <w:r>
              <w:rPr>
                <w:rFonts w:hint="eastAsia" w:hAnsi="宋体"/>
                <w:sz w:val="21"/>
                <w:szCs w:val="21"/>
                <w:highlight w:val="none"/>
              </w:rPr>
              <w:t>业绩</w:t>
            </w:r>
          </w:p>
        </w:tc>
        <w:tc>
          <w:tcPr>
            <w:tcW w:w="810" w:type="dxa"/>
            <w:tcBorders>
              <w:top w:val="single" w:color="auto" w:sz="4" w:space="0"/>
              <w:bottom w:val="single" w:color="auto" w:sz="4" w:space="0"/>
            </w:tcBorders>
            <w:noWrap w:val="0"/>
            <w:vAlign w:val="center"/>
          </w:tcPr>
          <w:p w14:paraId="1311521B">
            <w:pPr>
              <w:pStyle w:val="7"/>
              <w:snapToGrid w:val="0"/>
              <w:spacing w:line="320" w:lineRule="exact"/>
              <w:jc w:val="center"/>
              <w:rPr>
                <w:rFonts w:hint="eastAsia" w:hAnsi="宋体"/>
                <w:sz w:val="21"/>
                <w:szCs w:val="21"/>
                <w:highlight w:val="none"/>
              </w:rPr>
            </w:pPr>
            <w:r>
              <w:rPr>
                <w:rFonts w:hint="eastAsia" w:hAnsi="宋体"/>
                <w:sz w:val="21"/>
                <w:szCs w:val="21"/>
                <w:highlight w:val="none"/>
                <w:lang w:eastAsia="zh-CN"/>
              </w:rPr>
              <w:t>1</w:t>
            </w:r>
            <w:r>
              <w:rPr>
                <w:rFonts w:hint="eastAsia" w:hAnsi="宋体"/>
                <w:sz w:val="21"/>
                <w:szCs w:val="21"/>
                <w:highlight w:val="none"/>
                <w:lang w:val="en-US" w:eastAsia="zh-CN"/>
              </w:rPr>
              <w:t>0</w:t>
            </w:r>
            <w:r>
              <w:rPr>
                <w:rFonts w:hint="eastAsia" w:hAnsi="宋体"/>
                <w:sz w:val="21"/>
                <w:szCs w:val="21"/>
                <w:highlight w:val="none"/>
              </w:rPr>
              <w:t>分</w:t>
            </w:r>
          </w:p>
        </w:tc>
        <w:tc>
          <w:tcPr>
            <w:tcW w:w="4984" w:type="dxa"/>
            <w:tcBorders>
              <w:top w:val="single" w:color="auto" w:sz="4" w:space="0"/>
              <w:bottom w:val="single" w:color="auto" w:sz="4" w:space="0"/>
            </w:tcBorders>
            <w:noWrap w:val="0"/>
            <w:vAlign w:val="center"/>
          </w:tcPr>
          <w:p w14:paraId="0FA25BA9">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满足“资格审查条件（业绩最低要求）”得6分；</w:t>
            </w:r>
          </w:p>
          <w:p w14:paraId="78490186">
            <w:pPr>
              <w:snapToGrid w:val="0"/>
              <w:spacing w:line="320" w:lineRule="exact"/>
              <w:rPr>
                <w:rFonts w:hint="eastAsia" w:ascii="宋体" w:hAnsi="宋体"/>
                <w:sz w:val="21"/>
                <w:szCs w:val="21"/>
                <w:highlight w:val="none"/>
                <w:lang w:eastAsia="zh-CN"/>
              </w:rPr>
            </w:pPr>
            <w:r>
              <w:rPr>
                <w:rFonts w:hint="eastAsia" w:ascii="宋体" w:hAnsi="宋体"/>
                <w:kern w:val="2"/>
                <w:sz w:val="21"/>
                <w:szCs w:val="21"/>
                <w:highlight w:val="none"/>
                <w:lang w:eastAsia="zh-CN"/>
              </w:rPr>
              <w:t>每增加1项满足“资格审查条件（业绩最低要求）”</w:t>
            </w:r>
            <w:r>
              <w:rPr>
                <w:rFonts w:hint="eastAsia" w:ascii="宋体" w:hAnsi="宋体"/>
                <w:kern w:val="2"/>
                <w:sz w:val="21"/>
                <w:szCs w:val="21"/>
                <w:highlight w:val="none"/>
                <w:lang w:val="en-US" w:eastAsia="zh-CN"/>
              </w:rPr>
              <w:t>的全部</w:t>
            </w:r>
            <w:r>
              <w:rPr>
                <w:rFonts w:hint="eastAsia" w:ascii="宋体" w:hAnsi="宋体"/>
                <w:sz w:val="21"/>
                <w:szCs w:val="21"/>
                <w:highlight w:val="none"/>
                <w:lang w:eastAsia="zh-CN"/>
              </w:rPr>
              <w:t>业绩</w:t>
            </w:r>
            <w:r>
              <w:rPr>
                <w:rFonts w:hint="eastAsia" w:ascii="宋体" w:hAnsi="宋体"/>
                <w:kern w:val="2"/>
                <w:sz w:val="21"/>
                <w:szCs w:val="21"/>
                <w:highlight w:val="none"/>
                <w:lang w:eastAsia="zh-CN"/>
              </w:rPr>
              <w:t>，加2分，最多加4分。</w:t>
            </w:r>
          </w:p>
        </w:tc>
      </w:tr>
    </w:tbl>
    <w:p w14:paraId="7906E7BB">
      <w:pPr>
        <w:rPr>
          <w:rFonts w:hint="eastAsia" w:ascii="宋体" w:hAnsi="宋体"/>
          <w:sz w:val="21"/>
          <w:szCs w:val="21"/>
          <w:highlight w:val="none"/>
          <w:lang w:val="zh-CN" w:eastAsia="zh-CN"/>
        </w:rPr>
      </w:pPr>
      <w:r>
        <w:rPr>
          <w:rFonts w:hint="eastAsia" w:ascii="宋体" w:hAnsi="宋体"/>
          <w:sz w:val="21"/>
          <w:szCs w:val="21"/>
          <w:highlight w:val="none"/>
          <w:lang w:val="zh-CN" w:eastAsia="zh-CN"/>
        </w:rPr>
        <w:t>注：1、第2.2.4（1）项各评委打分保留1位小数，投标人该项得分以各评委打分平均值计算所得，保留两位小数，第三位小数四舍五入。</w:t>
      </w:r>
    </w:p>
    <w:p w14:paraId="1F841FD7">
      <w:pPr>
        <w:pStyle w:val="17"/>
        <w:spacing w:line="240" w:lineRule="auto"/>
        <w:rPr>
          <w:rFonts w:hint="eastAsia" w:ascii="宋体" w:hAnsi="宋体"/>
          <w:sz w:val="21"/>
          <w:szCs w:val="21"/>
          <w:highlight w:val="none"/>
          <w:lang w:eastAsia="zh-CN"/>
        </w:rPr>
      </w:pPr>
      <w:r>
        <w:rPr>
          <w:rFonts w:hint="eastAsia" w:ascii="宋体" w:hAnsi="宋体"/>
          <w:sz w:val="21"/>
          <w:szCs w:val="21"/>
          <w:highlight w:val="none"/>
          <w:lang w:eastAsia="zh-CN"/>
        </w:rPr>
        <w:t>2、</w:t>
      </w:r>
      <w:r>
        <w:rPr>
          <w:rFonts w:hint="eastAsia" w:ascii="宋体" w:hAnsi="宋体"/>
          <w:sz w:val="21"/>
          <w:szCs w:val="21"/>
          <w:highlight w:val="none"/>
          <w:lang w:val="zh-CN" w:eastAsia="zh-CN"/>
        </w:rPr>
        <w:t>第2.2.4（1）项评</w:t>
      </w:r>
      <w:r>
        <w:rPr>
          <w:rFonts w:hint="eastAsia" w:ascii="宋体" w:hAnsi="宋体"/>
          <w:sz w:val="21"/>
          <w:szCs w:val="21"/>
          <w:highlight w:val="none"/>
          <w:lang w:eastAsia="zh-CN"/>
        </w:rPr>
        <w:t>分</w:t>
      </w:r>
      <w:r>
        <w:rPr>
          <w:rFonts w:hint="eastAsia" w:ascii="宋体" w:hAnsi="宋体"/>
          <w:sz w:val="21"/>
          <w:szCs w:val="21"/>
          <w:highlight w:val="none"/>
          <w:lang w:val="zh-CN" w:eastAsia="zh-CN"/>
        </w:rPr>
        <w:t>因素</w:t>
      </w:r>
      <w:r>
        <w:rPr>
          <w:rFonts w:hint="eastAsia" w:ascii="宋体" w:hAnsi="宋体"/>
          <w:sz w:val="21"/>
          <w:szCs w:val="21"/>
          <w:highlight w:val="none"/>
          <w:lang w:eastAsia="zh-CN"/>
        </w:rPr>
        <w:t>细分项</w:t>
      </w:r>
      <w:r>
        <w:rPr>
          <w:rFonts w:hint="eastAsia" w:ascii="宋体" w:hAnsi="宋体"/>
          <w:sz w:val="21"/>
          <w:szCs w:val="21"/>
          <w:highlight w:val="none"/>
          <w:lang w:val="zh-CN" w:eastAsia="zh-CN"/>
        </w:rPr>
        <w:t>缺项则该项得0分。</w:t>
      </w:r>
    </w:p>
    <w:p w14:paraId="52FB4B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525F0"/>
    <w:rsid w:val="0ECD0571"/>
    <w:rsid w:val="11396325"/>
    <w:rsid w:val="14E0681B"/>
    <w:rsid w:val="1760460B"/>
    <w:rsid w:val="1E4F62D6"/>
    <w:rsid w:val="1F40383D"/>
    <w:rsid w:val="279B48E7"/>
    <w:rsid w:val="2896660E"/>
    <w:rsid w:val="2AE8488E"/>
    <w:rsid w:val="2EDF2AFC"/>
    <w:rsid w:val="2FA525F0"/>
    <w:rsid w:val="33664DBE"/>
    <w:rsid w:val="35A574B6"/>
    <w:rsid w:val="395E67BE"/>
    <w:rsid w:val="39F049E4"/>
    <w:rsid w:val="3ABF5F61"/>
    <w:rsid w:val="41301B6E"/>
    <w:rsid w:val="42286BD6"/>
    <w:rsid w:val="444E2F6B"/>
    <w:rsid w:val="4A1273D5"/>
    <w:rsid w:val="4B080D08"/>
    <w:rsid w:val="4C01529A"/>
    <w:rsid w:val="4ECD1ABD"/>
    <w:rsid w:val="528205B6"/>
    <w:rsid w:val="54904D90"/>
    <w:rsid w:val="620072A5"/>
    <w:rsid w:val="62A806BA"/>
    <w:rsid w:val="643F511A"/>
    <w:rsid w:val="6E7313EE"/>
    <w:rsid w:val="72663C5F"/>
    <w:rsid w:val="7B804FE0"/>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宋体"/>
      <w:sz w:val="18"/>
      <w:szCs w:val="18"/>
      <w:lang w:val="en-US" w:eastAsia="en-US" w:bidi="ar-SA"/>
    </w:rPr>
  </w:style>
  <w:style w:type="paragraph" w:styleId="2">
    <w:name w:val="heading 1"/>
    <w:basedOn w:val="1"/>
    <w:next w:val="1"/>
    <w:link w:val="12"/>
    <w:qFormat/>
    <w:uiPriority w:val="0"/>
    <w:pPr>
      <w:keepNext/>
      <w:widowControl/>
      <w:spacing w:before="50" w:beforeLines="50" w:after="50" w:afterLines="50" w:line="360" w:lineRule="auto"/>
      <w:jc w:val="center"/>
      <w:outlineLvl w:val="0"/>
    </w:pPr>
    <w:rPr>
      <w:rFonts w:ascii="宋体" w:hAnsi="宋体" w:eastAsia="宋体" w:cs="宋体"/>
      <w:b/>
      <w:bCs/>
      <w:kern w:val="36"/>
      <w:sz w:val="40"/>
      <w:szCs w:val="32"/>
    </w:rPr>
  </w:style>
  <w:style w:type="paragraph" w:styleId="3">
    <w:name w:val="heading 2"/>
    <w:basedOn w:val="1"/>
    <w:next w:val="1"/>
    <w:link w:val="11"/>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4">
    <w:name w:val="heading 3"/>
    <w:basedOn w:val="1"/>
    <w:next w:val="1"/>
    <w:link w:val="13"/>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5">
    <w:name w:val="heading 4"/>
    <w:basedOn w:val="1"/>
    <w:next w:val="1"/>
    <w:link w:val="14"/>
    <w:semiHidden/>
    <w:unhideWhenUsed/>
    <w:qFormat/>
    <w:uiPriority w:val="0"/>
    <w:pPr>
      <w:ind w:left="237"/>
      <w:outlineLvl w:val="3"/>
    </w:pPr>
    <w:rPr>
      <w:rFonts w:ascii="宋体" w:hAnsi="宋体" w:eastAsia="宋体" w:cs="Times New Roman"/>
      <w:b/>
      <w:sz w:val="28"/>
      <w:szCs w:val="28"/>
      <w:lang w:eastAsia="en-US"/>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7">
    <w:name w:val="Plain Text"/>
    <w:basedOn w:val="1"/>
    <w:qFormat/>
    <w:uiPriority w:val="0"/>
    <w:rPr>
      <w:rFonts w:ascii="宋体" w:hAnsi="Courier New"/>
      <w:sz w:val="20"/>
      <w:szCs w:val="20"/>
    </w:rPr>
  </w:style>
  <w:style w:type="paragraph" w:styleId="8">
    <w:name w:val="Normal (Web)"/>
    <w:basedOn w:val="1"/>
    <w:qFormat/>
    <w:uiPriority w:val="0"/>
    <w:pPr>
      <w:widowControl/>
      <w:spacing w:before="100" w:beforeAutospacing="1" w:after="100" w:afterAutospacing="1" w:line="432" w:lineRule="auto"/>
      <w:ind w:firstLine="480"/>
    </w:pPr>
    <w:rPr>
      <w:rFonts w:ascii="宋体" w:hAnsi="宋体"/>
      <w:sz w:val="24"/>
      <w:szCs w:val="24"/>
    </w:rPr>
  </w:style>
  <w:style w:type="character" w:customStyle="1" w:styleId="11">
    <w:name w:val="标题 2 Char"/>
    <w:basedOn w:val="10"/>
    <w:link w:val="3"/>
    <w:qFormat/>
    <w:uiPriority w:val="9"/>
    <w:rPr>
      <w:rFonts w:ascii="宋体" w:hAnsi="宋体" w:eastAsia="宋体" w:cs="宋体"/>
      <w:b/>
      <w:bCs/>
      <w:sz w:val="24"/>
      <w:szCs w:val="24"/>
      <w:lang w:eastAsia="en-US"/>
    </w:rPr>
  </w:style>
  <w:style w:type="character" w:customStyle="1" w:styleId="12">
    <w:name w:val="标题 1 Char"/>
    <w:basedOn w:val="10"/>
    <w:link w:val="2"/>
    <w:qFormat/>
    <w:uiPriority w:val="9"/>
    <w:rPr>
      <w:rFonts w:ascii="宋体" w:hAnsi="宋体" w:eastAsia="宋体" w:cs="宋体"/>
      <w:b/>
      <w:bCs/>
      <w:kern w:val="36"/>
      <w:sz w:val="40"/>
      <w:szCs w:val="32"/>
      <w:lang w:eastAsia="en-US"/>
    </w:rPr>
  </w:style>
  <w:style w:type="character" w:customStyle="1" w:styleId="13">
    <w:name w:val="标题 3 Char"/>
    <w:basedOn w:val="10"/>
    <w:link w:val="4"/>
    <w:qFormat/>
    <w:uiPriority w:val="9"/>
    <w:rPr>
      <w:rFonts w:ascii="宋体" w:hAnsi="宋体" w:eastAsia="宋体" w:cs="宋体"/>
      <w:b/>
      <w:bCs/>
      <w:kern w:val="0"/>
      <w:sz w:val="24"/>
      <w:szCs w:val="24"/>
      <w:lang w:eastAsia="en-US"/>
    </w:rPr>
  </w:style>
  <w:style w:type="character" w:customStyle="1" w:styleId="14">
    <w:name w:val="标题 4 字符"/>
    <w:link w:val="5"/>
    <w:qFormat/>
    <w:uiPriority w:val="0"/>
    <w:rPr>
      <w:rFonts w:ascii="宋体" w:hAnsi="宋体" w:eastAsia="宋体" w:cs="Times New Roman"/>
      <w:b/>
      <w:sz w:val="28"/>
      <w:szCs w:val="28"/>
      <w:lang w:eastAsia="en-US"/>
    </w:rPr>
  </w:style>
  <w:style w:type="paragraph" w:customStyle="1" w:styleId="15">
    <w:name w:val="方案正文"/>
    <w:basedOn w:val="1"/>
    <w:qFormat/>
    <w:uiPriority w:val="0"/>
    <w:pPr>
      <w:spacing w:line="560" w:lineRule="exact"/>
      <w:ind w:firstLine="200" w:firstLineChars="200"/>
    </w:pPr>
    <w:rPr>
      <w:rFonts w:eastAsia="仿宋_GB2312" w:cs="黑体"/>
      <w:sz w:val="32"/>
    </w:rPr>
  </w:style>
  <w:style w:type="character" w:customStyle="1" w:styleId="16">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7">
    <w:name w:val="正文首行缩进 21"/>
    <w:basedOn w:val="18"/>
    <w:qFormat/>
    <w:uiPriority w:val="0"/>
    <w:pPr>
      <w:ind w:firstLine="420"/>
    </w:pPr>
  </w:style>
  <w:style w:type="paragraph" w:customStyle="1" w:styleId="18">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4038</Words>
  <Characters>4250</Characters>
  <Lines>0</Lines>
  <Paragraphs>0</Paragraphs>
  <TotalTime>0</TotalTime>
  <ScaleCrop>false</ScaleCrop>
  <LinksUpToDate>false</LinksUpToDate>
  <CharactersWithSpaces>4256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2026-04-16T09:51:00Z</dcterms:created>
  <dc:creator>张宁</dc:creator>
  <cp:lastModifiedBy>郝姗姗</cp:lastModifiedBy>
  <dcterms:modified xsi:type="dcterms:W3CDTF">2026-04-17T08:55:05Z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1C070EC8B7D9424DABEBFF9150BF53E1_13</vt:lpwstr>
  </property>
  <property fmtid="{D5CDD505-2E9C-101B-9397-08002B2CF9AE}" pid="4" name="KSOTemplateDocerSaveRecord">
    <vt:lpwstr>eyJoZGlkIjoiNGFjNGU5MGM1NzNmMGRmMGE0N2VjNjk3NDcyNTAwODYiLCJ1c2VySWQiOiIxNjgyOTM3NTgwIn0=</vt:lpwstr>
  </property>
</Properties>
</file>