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87571">
      <w:pPr>
        <w:snapToGrid w:val="0"/>
        <w:spacing w:line="360" w:lineRule="auto"/>
        <w:textAlignment w:val="baseline"/>
        <w:outlineLvl w:val="2"/>
        <w:rPr>
          <w:b/>
          <w:bCs/>
          <w:sz w:val="24"/>
          <w:szCs w:val="24"/>
          <w:highlight w:val="none"/>
          <w:lang w:eastAsia="zh-CN"/>
        </w:rPr>
      </w:pPr>
      <w:bookmarkStart w:id="0" w:name="_Toc7171"/>
      <w:r>
        <w:rPr>
          <w:rFonts w:hint="eastAsia" w:ascii="宋体" w:hAnsi="宋体"/>
          <w:b/>
          <w:bCs/>
          <w:sz w:val="24"/>
          <w:szCs w:val="24"/>
          <w:highlight w:val="none"/>
          <w:lang w:eastAsia="zh-CN"/>
        </w:rPr>
        <w:t>附件</w:t>
      </w:r>
      <w:r>
        <w:rPr>
          <w:rFonts w:ascii="宋体" w:hAnsi="宋体"/>
          <w:b/>
          <w:bCs/>
          <w:sz w:val="24"/>
          <w:szCs w:val="24"/>
          <w:highlight w:val="none"/>
          <w:lang w:eastAsia="zh-CN"/>
        </w:rPr>
        <w:t>1</w:t>
      </w:r>
      <w:r>
        <w:rPr>
          <w:rFonts w:hint="eastAsia" w:ascii="宋体" w:hAnsi="宋体"/>
          <w:b/>
          <w:bCs/>
          <w:sz w:val="24"/>
          <w:szCs w:val="24"/>
          <w:highlight w:val="none"/>
          <w:lang w:eastAsia="zh-CN"/>
        </w:rPr>
        <w:t>：资格审查条件</w:t>
      </w:r>
      <w:bookmarkEnd w:id="0"/>
    </w:p>
    <w:p w14:paraId="7A8E8DFA">
      <w:pPr>
        <w:jc w:val="center"/>
        <w:rPr>
          <w:rFonts w:hint="eastAsia" w:ascii="宋体" w:hAnsi="宋体"/>
          <w:b/>
          <w:sz w:val="24"/>
          <w:szCs w:val="24"/>
          <w:highlight w:val="none"/>
          <w:lang w:eastAsia="zh-CN"/>
        </w:rPr>
      </w:pPr>
    </w:p>
    <w:p w14:paraId="24C1D165">
      <w:pPr>
        <w:jc w:val="center"/>
        <w:rPr>
          <w:rFonts w:hint="eastAsia" w:ascii="宋体" w:hAnsi="宋体"/>
          <w:b/>
          <w:sz w:val="24"/>
          <w:szCs w:val="24"/>
          <w:highlight w:val="none"/>
          <w:lang w:eastAsia="zh-CN"/>
        </w:rPr>
      </w:pPr>
      <w:r>
        <w:rPr>
          <w:rFonts w:hint="eastAsia" w:ascii="宋体" w:hAnsi="宋体"/>
          <w:b/>
          <w:sz w:val="24"/>
          <w:szCs w:val="24"/>
          <w:highlight w:val="none"/>
          <w:lang w:eastAsia="zh-CN"/>
        </w:rPr>
        <w:t>附录1资格审查条件（资质最低要求）</w:t>
      </w:r>
    </w:p>
    <w:tbl>
      <w:tblPr>
        <w:tblStyle w:val="9"/>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788C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3174BB81">
            <w:pPr>
              <w:jc w:val="center"/>
              <w:rPr>
                <w:rFonts w:hint="eastAsia" w:ascii="宋体" w:hAnsi="宋体"/>
                <w:sz w:val="21"/>
                <w:szCs w:val="24"/>
                <w:highlight w:val="none"/>
              </w:rPr>
            </w:pPr>
            <w:r>
              <w:rPr>
                <w:rFonts w:hint="eastAsia" w:ascii="宋体" w:hAnsi="宋体"/>
                <w:sz w:val="21"/>
                <w:szCs w:val="24"/>
                <w:highlight w:val="none"/>
              </w:rPr>
              <w:t>资质等级要求</w:t>
            </w:r>
          </w:p>
        </w:tc>
      </w:tr>
      <w:tr w14:paraId="36A7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642" w:type="dxa"/>
            <w:vAlign w:val="center"/>
          </w:tcPr>
          <w:p w14:paraId="6884B2D1">
            <w:pPr>
              <w:snapToGrid w:val="0"/>
              <w:spacing w:line="360" w:lineRule="exact"/>
              <w:ind w:firstLine="420" w:firstLineChars="200"/>
              <w:rPr>
                <w:rFonts w:hint="eastAsia" w:ascii="宋体" w:hAnsi="宋体"/>
                <w:sz w:val="21"/>
                <w:szCs w:val="24"/>
                <w:highlight w:val="none"/>
                <w:lang w:eastAsia="zh-CN"/>
              </w:rPr>
            </w:pPr>
            <w:r>
              <w:rPr>
                <w:rFonts w:hint="eastAsia" w:ascii="宋体" w:hAnsi="宋体"/>
                <w:sz w:val="21"/>
                <w:szCs w:val="24"/>
                <w:highlight w:val="none"/>
                <w:lang w:eastAsia="zh-CN"/>
              </w:rPr>
              <w:t>投标人应是中华人民共和国境内的法人或其他组织，持有有效的营业执照；具备施工劳务不分等级资质；具有有效的安全生产许可证。</w:t>
            </w:r>
          </w:p>
        </w:tc>
      </w:tr>
    </w:tbl>
    <w:p w14:paraId="58AFDDE9">
      <w:pPr>
        <w:snapToGrid w:val="0"/>
        <w:rPr>
          <w:rFonts w:hint="eastAsia" w:ascii="宋体" w:hAnsi="宋体"/>
          <w:sz w:val="24"/>
          <w:szCs w:val="24"/>
          <w:highlight w:val="none"/>
          <w:lang w:eastAsia="zh-CN"/>
        </w:rPr>
      </w:pPr>
    </w:p>
    <w:p w14:paraId="239114DA">
      <w:pPr>
        <w:pStyle w:val="15"/>
        <w:snapToGrid w:val="0"/>
        <w:spacing w:line="240" w:lineRule="auto"/>
        <w:ind w:firstLine="640"/>
        <w:rPr>
          <w:highlight w:val="none"/>
          <w:lang w:eastAsia="zh-CN"/>
        </w:rPr>
      </w:pPr>
    </w:p>
    <w:p w14:paraId="25A2E291">
      <w:pPr>
        <w:jc w:val="center"/>
        <w:rPr>
          <w:rFonts w:hint="eastAsia" w:ascii="宋体" w:hAnsi="宋体"/>
          <w:b/>
          <w:sz w:val="24"/>
          <w:szCs w:val="24"/>
          <w:highlight w:val="none"/>
          <w:lang w:eastAsia="zh-CN"/>
        </w:rPr>
      </w:pPr>
      <w:r>
        <w:rPr>
          <w:rFonts w:hint="eastAsia" w:ascii="宋体" w:hAnsi="宋体"/>
          <w:b/>
          <w:sz w:val="24"/>
          <w:szCs w:val="24"/>
          <w:highlight w:val="none"/>
          <w:lang w:eastAsia="zh-CN"/>
        </w:rPr>
        <w:t>附录2资格审查条件（业绩最低要求）</w:t>
      </w:r>
    </w:p>
    <w:tbl>
      <w:tblPr>
        <w:tblStyle w:val="9"/>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6B14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7910EDE3">
            <w:pPr>
              <w:jc w:val="center"/>
              <w:rPr>
                <w:rFonts w:hint="eastAsia" w:ascii="宋体" w:hAnsi="宋体"/>
                <w:sz w:val="21"/>
                <w:szCs w:val="21"/>
                <w:highlight w:val="none"/>
              </w:rPr>
            </w:pPr>
            <w:r>
              <w:rPr>
                <w:rFonts w:hint="eastAsia" w:ascii="宋体" w:hAnsi="宋体"/>
                <w:sz w:val="21"/>
                <w:szCs w:val="21"/>
                <w:highlight w:val="none"/>
              </w:rPr>
              <w:t>业绩要求</w:t>
            </w:r>
          </w:p>
        </w:tc>
      </w:tr>
      <w:tr w14:paraId="12DF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642" w:type="dxa"/>
            <w:vAlign w:val="center"/>
          </w:tcPr>
          <w:p w14:paraId="3DB3353E">
            <w:pPr>
              <w:snapToGrid w:val="0"/>
              <w:spacing w:line="360" w:lineRule="exact"/>
              <w:ind w:firstLine="420" w:firstLineChars="200"/>
              <w:rPr>
                <w:rFonts w:hint="eastAsia" w:ascii="宋体" w:hAnsi="宋体"/>
                <w:strike/>
                <w:sz w:val="21"/>
                <w:szCs w:val="21"/>
                <w:highlight w:val="none"/>
                <w:lang w:eastAsia="zh-CN"/>
              </w:rPr>
            </w:pPr>
            <w:r>
              <w:rPr>
                <w:rFonts w:hint="eastAsia" w:ascii="宋体" w:hAnsi="宋体"/>
                <w:sz w:val="21"/>
                <w:szCs w:val="21"/>
                <w:highlight w:val="none"/>
                <w:lang w:eastAsia="zh-CN"/>
              </w:rPr>
              <w:t>近</w:t>
            </w:r>
            <w:r>
              <w:rPr>
                <w:rFonts w:hint="eastAsia" w:ascii="宋体" w:hAnsi="宋体"/>
                <w:sz w:val="21"/>
                <w:szCs w:val="21"/>
                <w:highlight w:val="none"/>
                <w:lang w:val="en-US" w:eastAsia="zh-CN"/>
              </w:rPr>
              <w:t>3</w:t>
            </w:r>
            <w:r>
              <w:rPr>
                <w:rFonts w:hint="eastAsia" w:ascii="宋体" w:hAnsi="宋体"/>
                <w:sz w:val="21"/>
                <w:szCs w:val="21"/>
                <w:highlight w:val="none"/>
                <w:lang w:eastAsia="zh-CN"/>
              </w:rPr>
              <w:t>年（202</w:t>
            </w:r>
            <w:r>
              <w:rPr>
                <w:rFonts w:hint="eastAsia" w:ascii="宋体" w:hAnsi="宋体"/>
                <w:sz w:val="21"/>
                <w:szCs w:val="21"/>
                <w:highlight w:val="none"/>
                <w:lang w:val="en-US" w:eastAsia="zh-CN"/>
              </w:rPr>
              <w:t>3</w:t>
            </w:r>
            <w:r>
              <w:rPr>
                <w:rFonts w:hint="eastAsia" w:ascii="宋体" w:hAnsi="宋体"/>
                <w:sz w:val="21"/>
                <w:szCs w:val="21"/>
                <w:highlight w:val="none"/>
                <w:lang w:eastAsia="zh-CN"/>
              </w:rPr>
              <w:t>年5月1日至投标截止时间，以合同签订时间为准），至少承</w:t>
            </w:r>
            <w:r>
              <w:rPr>
                <w:rFonts w:hint="eastAsia" w:ascii="宋体" w:hAnsi="宋体"/>
                <w:sz w:val="21"/>
                <w:szCs w:val="21"/>
                <w:highlight w:val="none"/>
                <w:lang w:val="en-US" w:eastAsia="zh-CN"/>
              </w:rPr>
              <w:t>揽</w:t>
            </w:r>
            <w:r>
              <w:rPr>
                <w:rFonts w:hint="eastAsia" w:ascii="宋体" w:hAnsi="宋体"/>
                <w:sz w:val="21"/>
                <w:szCs w:val="21"/>
                <w:highlight w:val="none"/>
                <w:lang w:eastAsia="zh-CN"/>
              </w:rPr>
              <w:t>过1项</w:t>
            </w:r>
            <w:r>
              <w:rPr>
                <w:rFonts w:hint="eastAsia" w:ascii="宋体" w:hAnsi="宋体"/>
                <w:sz w:val="21"/>
                <w:szCs w:val="21"/>
                <w:highlight w:val="none"/>
                <w:lang w:val="en-US" w:eastAsia="zh-CN"/>
              </w:rPr>
              <w:t>高速公路机电系统维护维修工程</w:t>
            </w:r>
            <w:r>
              <w:rPr>
                <w:rFonts w:hint="eastAsia" w:ascii="宋体" w:hAnsi="宋体"/>
                <w:sz w:val="21"/>
                <w:szCs w:val="21"/>
                <w:highlight w:val="none"/>
                <w:lang w:eastAsia="zh-CN"/>
              </w:rPr>
              <w:t>施工</w:t>
            </w:r>
            <w:r>
              <w:rPr>
                <w:rFonts w:hint="eastAsia" w:ascii="宋体" w:hAnsi="宋体"/>
                <w:sz w:val="21"/>
                <w:szCs w:val="21"/>
                <w:highlight w:val="none"/>
                <w:lang w:val="en-US" w:eastAsia="zh-CN"/>
              </w:rPr>
              <w:t>项目</w:t>
            </w:r>
            <w:r>
              <w:rPr>
                <w:rFonts w:hint="eastAsia" w:ascii="宋体" w:hAnsi="宋体"/>
                <w:sz w:val="21"/>
                <w:szCs w:val="21"/>
                <w:highlight w:val="none"/>
                <w:lang w:eastAsia="zh-CN"/>
              </w:rPr>
              <w:t>或</w:t>
            </w:r>
            <w:r>
              <w:rPr>
                <w:rFonts w:hint="eastAsia" w:ascii="宋体" w:hAnsi="宋体"/>
                <w:sz w:val="21"/>
                <w:szCs w:val="21"/>
                <w:highlight w:val="none"/>
                <w:lang w:val="en-US" w:eastAsia="zh-CN"/>
              </w:rPr>
              <w:t>承揽过</w:t>
            </w:r>
            <w:r>
              <w:rPr>
                <w:rFonts w:hint="eastAsia" w:ascii="宋体" w:hAnsi="宋体"/>
                <w:sz w:val="21"/>
                <w:szCs w:val="21"/>
                <w:highlight w:val="none"/>
                <w:lang w:eastAsia="zh-CN"/>
              </w:rPr>
              <w:t>一项高速公路</w:t>
            </w:r>
            <w:r>
              <w:rPr>
                <w:rFonts w:hint="eastAsia" w:ascii="宋体" w:hAnsi="宋体"/>
                <w:sz w:val="21"/>
                <w:szCs w:val="21"/>
                <w:highlight w:val="none"/>
                <w:lang w:val="en-US" w:eastAsia="zh-CN"/>
              </w:rPr>
              <w:t>机电系统维护维修工程</w:t>
            </w:r>
            <w:r>
              <w:rPr>
                <w:rFonts w:hint="eastAsia" w:ascii="宋体" w:hAnsi="宋体"/>
                <w:sz w:val="21"/>
                <w:szCs w:val="21"/>
                <w:highlight w:val="none"/>
                <w:lang w:eastAsia="zh-CN"/>
              </w:rPr>
              <w:t>劳务</w:t>
            </w:r>
            <w:r>
              <w:rPr>
                <w:rFonts w:hint="eastAsia" w:ascii="宋体" w:hAnsi="宋体"/>
                <w:sz w:val="21"/>
                <w:szCs w:val="21"/>
                <w:highlight w:val="none"/>
                <w:lang w:val="en-US" w:eastAsia="zh-CN"/>
              </w:rPr>
              <w:t>项目</w:t>
            </w:r>
            <w:r>
              <w:rPr>
                <w:rFonts w:hint="eastAsia" w:ascii="宋体" w:hAnsi="宋体"/>
                <w:sz w:val="21"/>
                <w:szCs w:val="21"/>
                <w:highlight w:val="none"/>
                <w:lang w:eastAsia="zh-CN"/>
              </w:rPr>
              <w:t>。</w:t>
            </w:r>
          </w:p>
        </w:tc>
      </w:tr>
    </w:tbl>
    <w:p w14:paraId="3E13E8BD">
      <w:pPr>
        <w:snapToGrid w:val="0"/>
        <w:rPr>
          <w:rFonts w:hint="eastAsia" w:ascii="宋体" w:hAnsi="宋体"/>
          <w:sz w:val="24"/>
          <w:szCs w:val="24"/>
          <w:highlight w:val="none"/>
          <w:lang w:eastAsia="zh-CN"/>
        </w:rPr>
      </w:pPr>
    </w:p>
    <w:p w14:paraId="59D74367">
      <w:pPr>
        <w:pStyle w:val="15"/>
        <w:snapToGrid w:val="0"/>
        <w:spacing w:line="240" w:lineRule="auto"/>
        <w:ind w:firstLine="640"/>
        <w:rPr>
          <w:highlight w:val="none"/>
          <w:lang w:eastAsia="zh-CN"/>
        </w:rPr>
      </w:pPr>
    </w:p>
    <w:p w14:paraId="186EF5FA">
      <w:pPr>
        <w:jc w:val="center"/>
        <w:rPr>
          <w:rFonts w:hint="eastAsia" w:ascii="宋体" w:hAnsi="宋体"/>
          <w:b/>
          <w:sz w:val="24"/>
          <w:szCs w:val="24"/>
          <w:highlight w:val="none"/>
          <w:lang w:eastAsia="zh-CN"/>
        </w:rPr>
      </w:pPr>
      <w:r>
        <w:rPr>
          <w:rFonts w:hint="eastAsia" w:ascii="宋体" w:hAnsi="宋体"/>
          <w:b/>
          <w:sz w:val="24"/>
          <w:szCs w:val="24"/>
          <w:highlight w:val="none"/>
          <w:lang w:eastAsia="zh-CN"/>
        </w:rPr>
        <w:t>附录3资格审查条件（信誉最低要求）</w:t>
      </w:r>
    </w:p>
    <w:tbl>
      <w:tblPr>
        <w:tblStyle w:val="9"/>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3A0E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14:paraId="330B3371">
            <w:pPr>
              <w:jc w:val="center"/>
              <w:rPr>
                <w:rFonts w:hint="eastAsia" w:ascii="宋体" w:hAnsi="宋体"/>
                <w:sz w:val="21"/>
                <w:szCs w:val="21"/>
                <w:highlight w:val="none"/>
              </w:rPr>
            </w:pPr>
            <w:r>
              <w:rPr>
                <w:rFonts w:hint="eastAsia" w:ascii="宋体" w:hAnsi="宋体"/>
                <w:sz w:val="21"/>
                <w:szCs w:val="21"/>
                <w:highlight w:val="none"/>
              </w:rPr>
              <w:t>信誉要求</w:t>
            </w:r>
          </w:p>
        </w:tc>
      </w:tr>
      <w:tr w14:paraId="0A1B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14:paraId="0974C3AF">
            <w:pPr>
              <w:snapToGrid w:val="0"/>
              <w:spacing w:line="360" w:lineRule="exact"/>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投标人在过去1年中（2025年5月1日至投标截止时间）不曾在</w:t>
            </w:r>
            <w:r>
              <w:rPr>
                <w:rFonts w:hint="eastAsia" w:ascii="宋体" w:hAnsi="宋体"/>
                <w:sz w:val="21"/>
                <w:szCs w:val="21"/>
                <w:highlight w:val="none"/>
                <w:lang w:val="en-US" w:eastAsia="zh-CN"/>
              </w:rPr>
              <w:t>劳务</w:t>
            </w:r>
            <w:r>
              <w:rPr>
                <w:rFonts w:hint="eastAsia" w:ascii="宋体" w:hAnsi="宋体"/>
                <w:sz w:val="21"/>
                <w:szCs w:val="21"/>
                <w:highlight w:val="none"/>
                <w:lang w:eastAsia="zh-CN"/>
              </w:rPr>
              <w:t>合同中违约而被逐或因投标人自身的原因而使合同被解除。</w:t>
            </w:r>
          </w:p>
        </w:tc>
      </w:tr>
    </w:tbl>
    <w:p w14:paraId="4AD48E7C">
      <w:pPr>
        <w:snapToGrid w:val="0"/>
        <w:rPr>
          <w:rFonts w:hint="eastAsia" w:ascii="宋体" w:hAnsi="宋体"/>
          <w:sz w:val="24"/>
          <w:szCs w:val="24"/>
          <w:highlight w:val="none"/>
          <w:lang w:eastAsia="zh-CN"/>
        </w:rPr>
      </w:pPr>
    </w:p>
    <w:p w14:paraId="447517F6">
      <w:pPr>
        <w:pStyle w:val="4"/>
        <w:snapToGrid w:val="0"/>
        <w:spacing w:before="156" w:beforeLines="50" w:after="156" w:afterLines="50" w:line="240" w:lineRule="auto"/>
        <w:rPr>
          <w:rFonts w:hint="eastAsia" w:ascii="黑体" w:eastAsia="黑体"/>
          <w:spacing w:val="-8"/>
          <w:highlight w:val="none"/>
          <w:lang w:eastAsia="zh-CN"/>
        </w:rPr>
        <w:sectPr>
          <w:footerReference r:id="rId4" w:type="first"/>
          <w:footerReference r:id="rId3" w:type="default"/>
          <w:pgSz w:w="11906" w:h="16838"/>
          <w:pgMar w:top="1247" w:right="1247" w:bottom="1247" w:left="1247" w:header="851" w:footer="992" w:gutter="0"/>
          <w:pgNumType w:fmt="decimal"/>
          <w:cols w:space="0" w:num="1"/>
          <w:rtlGutter w:val="0"/>
          <w:docGrid w:type="lines" w:linePitch="312" w:charSpace="0"/>
        </w:sectPr>
      </w:pPr>
      <w:r>
        <w:rPr>
          <w:rFonts w:ascii="黑体" w:eastAsia="黑体"/>
          <w:spacing w:val="-8"/>
          <w:highlight w:val="none"/>
          <w:lang w:eastAsia="zh-CN"/>
        </w:rPr>
        <w:br w:type="page"/>
      </w:r>
      <w:bookmarkStart w:id="1" w:name="_Toc24234"/>
    </w:p>
    <w:bookmarkEnd w:id="1"/>
    <w:p w14:paraId="61F147C2">
      <w:pPr>
        <w:pStyle w:val="4"/>
        <w:snapToGrid w:val="0"/>
        <w:spacing w:before="156" w:beforeLines="50" w:after="156" w:afterLines="50" w:line="240" w:lineRule="auto"/>
        <w:ind w:left="138"/>
        <w:rPr>
          <w:rFonts w:hint="eastAsia"/>
          <w:highlight w:val="none"/>
          <w:lang w:eastAsia="zh-CN"/>
        </w:rPr>
      </w:pPr>
      <w:r>
        <w:rPr>
          <w:rFonts w:hint="eastAsia"/>
          <w:spacing w:val="-6"/>
          <w:highlight w:val="none"/>
          <w:lang w:eastAsia="zh-CN"/>
        </w:rPr>
        <w:t>附件2：评标办法</w:t>
      </w:r>
    </w:p>
    <w:p w14:paraId="4959AE82">
      <w:pPr>
        <w:autoSpaceDE w:val="0"/>
        <w:autoSpaceDN w:val="0"/>
        <w:adjustRightInd w:val="0"/>
        <w:snapToGrid w:val="0"/>
        <w:spacing w:line="360" w:lineRule="auto"/>
        <w:ind w:left="119" w:right="113"/>
        <w:jc w:val="left"/>
        <w:outlineLvl w:val="1"/>
        <w:rPr>
          <w:b/>
          <w:bCs/>
          <w:color w:val="auto"/>
          <w:highlight w:val="none"/>
        </w:rPr>
      </w:pPr>
      <w:r>
        <w:rPr>
          <w:rFonts w:hint="eastAsia"/>
          <w:b/>
          <w:bCs/>
          <w:color w:val="auto"/>
          <w:highlight w:val="none"/>
        </w:rPr>
        <w:t>评标办法前附表</w:t>
      </w:r>
    </w:p>
    <w:tbl>
      <w:tblPr>
        <w:tblStyle w:val="9"/>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231"/>
        <w:gridCol w:w="7452"/>
      </w:tblGrid>
      <w:tr w14:paraId="6C63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6D979346">
            <w:pPr>
              <w:snapToGrid w:val="0"/>
              <w:spacing w:line="340" w:lineRule="exact"/>
              <w:jc w:val="center"/>
              <w:rPr>
                <w:rFonts w:ascii="宋体" w:hAnsi="宋体" w:cs="宋体"/>
                <w:color w:val="auto"/>
                <w:kern w:val="28"/>
                <w:highlight w:val="none"/>
              </w:rPr>
            </w:pPr>
            <w:r>
              <w:rPr>
                <w:rFonts w:hint="eastAsia" w:ascii="宋体" w:hAnsi="宋体"/>
                <w:color w:val="auto"/>
                <w:kern w:val="28"/>
                <w:highlight w:val="none"/>
              </w:rPr>
              <w:t>条款号</w:t>
            </w:r>
          </w:p>
        </w:tc>
        <w:tc>
          <w:tcPr>
            <w:tcW w:w="1231" w:type="dxa"/>
            <w:tcBorders>
              <w:top w:val="single" w:color="auto" w:sz="4" w:space="0"/>
              <w:left w:val="single" w:color="auto" w:sz="4" w:space="0"/>
              <w:bottom w:val="single" w:color="auto" w:sz="4" w:space="0"/>
              <w:right w:val="single" w:color="auto" w:sz="4" w:space="0"/>
            </w:tcBorders>
            <w:vAlign w:val="center"/>
          </w:tcPr>
          <w:p w14:paraId="03E23FC7">
            <w:pPr>
              <w:snapToGrid w:val="0"/>
              <w:spacing w:line="340" w:lineRule="exact"/>
              <w:jc w:val="center"/>
              <w:rPr>
                <w:rFonts w:ascii="宋体" w:hAnsi="宋体" w:cs="宋体"/>
                <w:color w:val="auto"/>
                <w:kern w:val="28"/>
                <w:highlight w:val="none"/>
              </w:rPr>
            </w:pPr>
            <w:r>
              <w:rPr>
                <w:rFonts w:hint="eastAsia" w:ascii="宋体" w:hAnsi="宋体"/>
                <w:color w:val="auto"/>
                <w:kern w:val="28"/>
                <w:highlight w:val="none"/>
              </w:rPr>
              <w:t>条款名称</w:t>
            </w:r>
          </w:p>
        </w:tc>
        <w:tc>
          <w:tcPr>
            <w:tcW w:w="7452" w:type="dxa"/>
            <w:tcBorders>
              <w:top w:val="single" w:color="auto" w:sz="4" w:space="0"/>
              <w:left w:val="single" w:color="auto" w:sz="4" w:space="0"/>
              <w:bottom w:val="single" w:color="auto" w:sz="4" w:space="0"/>
              <w:right w:val="single" w:color="auto" w:sz="4" w:space="0"/>
            </w:tcBorders>
            <w:vAlign w:val="center"/>
          </w:tcPr>
          <w:p w14:paraId="07A63D03">
            <w:pPr>
              <w:snapToGrid w:val="0"/>
              <w:spacing w:line="340" w:lineRule="exact"/>
              <w:jc w:val="center"/>
              <w:rPr>
                <w:rFonts w:ascii="宋体" w:hAnsi="宋体" w:cs="宋体"/>
                <w:color w:val="auto"/>
                <w:kern w:val="28"/>
                <w:highlight w:val="none"/>
              </w:rPr>
            </w:pPr>
            <w:r>
              <w:rPr>
                <w:rFonts w:hint="eastAsia" w:ascii="宋体" w:hAnsi="宋体"/>
                <w:color w:val="auto"/>
                <w:kern w:val="28"/>
                <w:highlight w:val="none"/>
              </w:rPr>
              <w:t>评审因素与评审标准</w:t>
            </w:r>
          </w:p>
        </w:tc>
      </w:tr>
      <w:tr w14:paraId="704E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210E6EA9">
            <w:pPr>
              <w:snapToGrid w:val="0"/>
              <w:spacing w:line="340" w:lineRule="exact"/>
              <w:jc w:val="center"/>
              <w:rPr>
                <w:rFonts w:ascii="宋体" w:hAnsi="宋体" w:cs="宋体"/>
                <w:color w:val="auto"/>
                <w:kern w:val="28"/>
                <w:highlight w:val="none"/>
              </w:rPr>
            </w:pPr>
            <w:r>
              <w:rPr>
                <w:rFonts w:hint="eastAsia" w:ascii="宋体" w:hAnsi="宋体"/>
                <w:color w:val="auto"/>
                <w:kern w:val="28"/>
                <w:highlight w:val="none"/>
              </w:rPr>
              <w:t>1</w:t>
            </w:r>
          </w:p>
        </w:tc>
        <w:tc>
          <w:tcPr>
            <w:tcW w:w="1231" w:type="dxa"/>
            <w:tcBorders>
              <w:top w:val="single" w:color="auto" w:sz="4" w:space="0"/>
              <w:left w:val="single" w:color="auto" w:sz="4" w:space="0"/>
              <w:bottom w:val="single" w:color="auto" w:sz="4" w:space="0"/>
              <w:right w:val="single" w:color="auto" w:sz="4" w:space="0"/>
            </w:tcBorders>
            <w:vAlign w:val="center"/>
          </w:tcPr>
          <w:p w14:paraId="4F1216E0">
            <w:pPr>
              <w:snapToGrid w:val="0"/>
              <w:spacing w:line="340" w:lineRule="exact"/>
              <w:jc w:val="center"/>
              <w:rPr>
                <w:rFonts w:ascii="宋体" w:hAnsi="宋体" w:cs="宋体"/>
                <w:color w:val="auto"/>
                <w:kern w:val="28"/>
                <w:highlight w:val="none"/>
              </w:rPr>
            </w:pPr>
            <w:r>
              <w:rPr>
                <w:rFonts w:hint="eastAsia" w:ascii="宋体" w:hAnsi="宋体"/>
                <w:color w:val="auto"/>
                <w:kern w:val="28"/>
                <w:highlight w:val="none"/>
              </w:rPr>
              <w:t>评标办法</w:t>
            </w:r>
          </w:p>
        </w:tc>
        <w:tc>
          <w:tcPr>
            <w:tcW w:w="7452" w:type="dxa"/>
            <w:tcBorders>
              <w:top w:val="single" w:color="auto" w:sz="4" w:space="0"/>
              <w:left w:val="single" w:color="auto" w:sz="4" w:space="0"/>
              <w:bottom w:val="single" w:color="auto" w:sz="4" w:space="0"/>
              <w:right w:val="single" w:color="auto" w:sz="4" w:space="0"/>
            </w:tcBorders>
            <w:vAlign w:val="center"/>
          </w:tcPr>
          <w:p w14:paraId="18A773B5">
            <w:pPr>
              <w:snapToGrid w:val="0"/>
              <w:spacing w:line="340" w:lineRule="exact"/>
              <w:rPr>
                <w:rFonts w:ascii="宋体" w:hAnsi="宋体" w:cs="宋体"/>
                <w:color w:val="auto"/>
                <w:spacing w:val="-4"/>
                <w:kern w:val="28"/>
                <w:highlight w:val="none"/>
              </w:rPr>
            </w:pPr>
            <w:r>
              <w:rPr>
                <w:rFonts w:hint="eastAsia" w:ascii="宋体" w:hAnsi="宋体"/>
                <w:color w:val="auto"/>
                <w:spacing w:val="-4"/>
                <w:kern w:val="28"/>
                <w:highlight w:val="none"/>
              </w:rPr>
              <w:t>本条修改为：</w:t>
            </w:r>
          </w:p>
          <w:p w14:paraId="0DB3D7B0">
            <w:pPr>
              <w:snapToGrid w:val="0"/>
              <w:spacing w:line="340" w:lineRule="exact"/>
              <w:ind w:firstLine="420" w:firstLineChars="200"/>
              <w:rPr>
                <w:rFonts w:ascii="宋体" w:hAnsi="宋体"/>
                <w:color w:val="auto"/>
                <w:spacing w:val="-4"/>
                <w:kern w:val="28"/>
                <w:highlight w:val="none"/>
              </w:rPr>
            </w:pPr>
            <w:r>
              <w:rPr>
                <w:rFonts w:hint="eastAsia" w:ascii="宋体" w:hAnsi="宋体"/>
                <w:color w:val="auto"/>
                <w:kern w:val="28"/>
                <w:highlight w:val="none"/>
              </w:rPr>
              <w:t>本次评标采用综合评估法。评标委员会对满足招标文件实质性要求的投标文件，按照第三章第2.2款规定的评分标准进行打分，并按得分由高到低顺序推荐1-3名中标候选人。</w:t>
            </w:r>
            <w:r>
              <w:rPr>
                <w:rFonts w:hint="eastAsia" w:ascii="宋体" w:hAnsi="宋体"/>
                <w:color w:val="auto"/>
                <w:spacing w:val="-4"/>
                <w:kern w:val="28"/>
                <w:highlight w:val="none"/>
              </w:rPr>
              <w:t>综合评分相等时，评标委员会依次按照以下优先顺序推荐中标候选人：</w:t>
            </w:r>
          </w:p>
          <w:p w14:paraId="019B812C">
            <w:pPr>
              <w:snapToGrid w:val="0"/>
              <w:spacing w:line="340" w:lineRule="exact"/>
              <w:ind w:firstLine="420" w:firstLineChars="200"/>
              <w:rPr>
                <w:rFonts w:ascii="宋体" w:hAnsi="宋体"/>
                <w:color w:val="auto"/>
                <w:kern w:val="28"/>
                <w:highlight w:val="none"/>
              </w:rPr>
            </w:pPr>
            <w:r>
              <w:rPr>
                <w:rFonts w:hint="eastAsia" w:ascii="宋体" w:hAnsi="宋体"/>
                <w:color w:val="auto"/>
                <w:kern w:val="28"/>
                <w:highlight w:val="none"/>
              </w:rPr>
              <w:t>（1）</w:t>
            </w:r>
            <w:r>
              <w:rPr>
                <w:rFonts w:hint="eastAsia" w:ascii="宋体" w:hAnsi="宋体"/>
                <w:color w:val="auto"/>
                <w:kern w:val="28"/>
                <w:highlight w:val="none"/>
                <w:lang w:val="en-US" w:eastAsia="zh-CN"/>
              </w:rPr>
              <w:t>劳务作业</w:t>
            </w:r>
            <w:r>
              <w:rPr>
                <w:rFonts w:hint="eastAsia" w:ascii="宋体" w:hAnsi="宋体"/>
                <w:color w:val="auto"/>
                <w:kern w:val="28"/>
                <w:highlight w:val="none"/>
              </w:rPr>
              <w:t>方案得分较高的投标人优先；</w:t>
            </w:r>
          </w:p>
          <w:p w14:paraId="2CF3FC5A">
            <w:pPr>
              <w:snapToGrid w:val="0"/>
              <w:spacing w:line="340" w:lineRule="exact"/>
              <w:ind w:firstLine="420" w:firstLineChars="200"/>
              <w:rPr>
                <w:rFonts w:hint="eastAsia" w:ascii="宋体" w:hAnsi="宋体"/>
                <w:color w:val="auto"/>
                <w:kern w:val="28"/>
                <w:highlight w:val="none"/>
              </w:rPr>
            </w:pPr>
            <w:r>
              <w:rPr>
                <w:rFonts w:hint="eastAsia" w:ascii="宋体" w:hAnsi="宋体"/>
                <w:color w:val="auto"/>
                <w:kern w:val="28"/>
                <w:highlight w:val="none"/>
              </w:rPr>
              <w:t>（2）投标人提供的业绩累计金额高的优先。</w:t>
            </w:r>
          </w:p>
          <w:p w14:paraId="12B101A9">
            <w:pPr>
              <w:snapToGrid w:val="0"/>
              <w:spacing w:line="340" w:lineRule="exact"/>
              <w:ind w:firstLine="420" w:firstLineChars="200"/>
              <w:rPr>
                <w:rFonts w:hint="eastAsia" w:ascii="宋体" w:hAnsi="宋体"/>
                <w:color w:val="auto"/>
                <w:kern w:val="28"/>
                <w:highlight w:val="none"/>
              </w:rPr>
            </w:pPr>
            <w:r>
              <w:rPr>
                <w:rFonts w:hint="eastAsia" w:ascii="宋体" w:hAnsi="宋体"/>
                <w:color w:val="auto"/>
                <w:kern w:val="28"/>
                <w:highlight w:val="none"/>
              </w:rPr>
              <w:t>评标委员会按照1标段、2标段的顺序进行评审，如投标人同时在1标段和2标段排名第一，只推荐为1标段第一中标候选人，2标段不再推荐其为中标候选人。</w:t>
            </w:r>
          </w:p>
        </w:tc>
      </w:tr>
      <w:tr w14:paraId="6A8F5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66D8AFC0">
            <w:pPr>
              <w:snapToGrid w:val="0"/>
              <w:spacing w:line="340" w:lineRule="exact"/>
              <w:jc w:val="center"/>
              <w:rPr>
                <w:rFonts w:ascii="宋体" w:hAnsi="宋体" w:cs="宋体"/>
                <w:color w:val="auto"/>
                <w:kern w:val="28"/>
                <w:highlight w:val="none"/>
              </w:rPr>
            </w:pPr>
            <w:r>
              <w:rPr>
                <w:rFonts w:hint="eastAsia" w:ascii="宋体" w:hAnsi="宋体"/>
                <w:color w:val="auto"/>
                <w:kern w:val="28"/>
                <w:highlight w:val="none"/>
              </w:rPr>
              <w:t>2.1.1</w:t>
            </w:r>
          </w:p>
          <w:p w14:paraId="18AB7298">
            <w:pPr>
              <w:snapToGrid w:val="0"/>
              <w:spacing w:line="340" w:lineRule="exact"/>
              <w:jc w:val="center"/>
              <w:rPr>
                <w:rFonts w:ascii="宋体" w:hAnsi="宋体" w:cs="宋体"/>
                <w:color w:val="auto"/>
                <w:kern w:val="28"/>
                <w:highlight w:val="none"/>
              </w:rPr>
            </w:pPr>
            <w:r>
              <w:rPr>
                <w:rFonts w:hint="eastAsia" w:ascii="宋体" w:hAnsi="宋体"/>
                <w:color w:val="auto"/>
                <w:kern w:val="28"/>
                <w:highlight w:val="none"/>
              </w:rPr>
              <w:t>2.1.3</w:t>
            </w:r>
          </w:p>
        </w:tc>
        <w:tc>
          <w:tcPr>
            <w:tcW w:w="1231" w:type="dxa"/>
            <w:tcBorders>
              <w:top w:val="single" w:color="auto" w:sz="4" w:space="0"/>
              <w:left w:val="single" w:color="auto" w:sz="4" w:space="0"/>
              <w:bottom w:val="single" w:color="auto" w:sz="4" w:space="0"/>
              <w:right w:val="single" w:color="auto" w:sz="4" w:space="0"/>
            </w:tcBorders>
            <w:vAlign w:val="center"/>
          </w:tcPr>
          <w:p w14:paraId="5CB37EE9">
            <w:pPr>
              <w:snapToGrid w:val="0"/>
              <w:spacing w:line="340" w:lineRule="exact"/>
              <w:jc w:val="center"/>
              <w:rPr>
                <w:rFonts w:ascii="宋体" w:hAnsi="宋体" w:cs="宋体"/>
                <w:color w:val="auto"/>
                <w:kern w:val="28"/>
                <w:highlight w:val="none"/>
              </w:rPr>
            </w:pPr>
            <w:r>
              <w:rPr>
                <w:rFonts w:hint="eastAsia" w:ascii="宋体" w:hAnsi="宋体"/>
                <w:color w:val="auto"/>
                <w:kern w:val="28"/>
                <w:highlight w:val="none"/>
              </w:rPr>
              <w:t>形式评审与响应性评审标准</w:t>
            </w:r>
          </w:p>
        </w:tc>
        <w:tc>
          <w:tcPr>
            <w:tcW w:w="7452" w:type="dxa"/>
            <w:tcBorders>
              <w:top w:val="single" w:color="auto" w:sz="4" w:space="0"/>
              <w:left w:val="single" w:color="auto" w:sz="4" w:space="0"/>
              <w:bottom w:val="single" w:color="auto" w:sz="4" w:space="0"/>
              <w:right w:val="single" w:color="auto" w:sz="4" w:space="0"/>
            </w:tcBorders>
          </w:tcPr>
          <w:p w14:paraId="413B454F">
            <w:pPr>
              <w:adjustRightInd w:val="0"/>
              <w:snapToGrid w:val="0"/>
              <w:spacing w:line="340" w:lineRule="exact"/>
              <w:jc w:val="left"/>
              <w:rPr>
                <w:rFonts w:ascii="宋体" w:hAnsi="宋体"/>
                <w:bCs/>
                <w:color w:val="auto"/>
                <w:highlight w:val="none"/>
              </w:rPr>
            </w:pPr>
            <w:r>
              <w:rPr>
                <w:rFonts w:hint="eastAsia" w:ascii="宋体" w:hAnsi="宋体"/>
                <w:color w:val="auto"/>
                <w:highlight w:val="none"/>
              </w:rPr>
              <w:t>（1）</w:t>
            </w:r>
            <w:r>
              <w:rPr>
                <w:rFonts w:hint="eastAsia" w:ascii="宋体" w:hAnsi="宋体"/>
                <w:bCs/>
                <w:color w:val="auto"/>
                <w:highlight w:val="none"/>
              </w:rPr>
              <w:t xml:space="preserve">投标文件按照招标文件规定的格式、内容填写，字迹清晰可辨： </w:t>
            </w:r>
          </w:p>
          <w:p w14:paraId="5534FC14">
            <w:pPr>
              <w:adjustRightInd w:val="0"/>
              <w:snapToGrid w:val="0"/>
              <w:spacing w:line="340" w:lineRule="exact"/>
              <w:jc w:val="left"/>
              <w:rPr>
                <w:rFonts w:ascii="宋体" w:hAnsi="宋体"/>
                <w:bCs/>
                <w:color w:val="auto"/>
                <w:highlight w:val="none"/>
              </w:rPr>
            </w:pPr>
            <w:r>
              <w:rPr>
                <w:rFonts w:hint="eastAsia" w:ascii="宋体" w:hAnsi="宋体"/>
                <w:bCs/>
                <w:color w:val="auto"/>
                <w:highlight w:val="none"/>
              </w:rPr>
              <w:t>a.投标函按招标文件规定填报了项目名称、</w:t>
            </w:r>
            <w:r>
              <w:rPr>
                <w:rFonts w:hint="eastAsia" w:ascii="宋体" w:hAnsi="宋体"/>
                <w:bCs/>
                <w:color w:val="auto"/>
                <w:highlight w:val="none"/>
                <w:lang w:val="en-US" w:eastAsia="zh-CN"/>
              </w:rPr>
              <w:t>标段号、</w:t>
            </w:r>
            <w:r>
              <w:rPr>
                <w:rFonts w:hint="eastAsia" w:ascii="宋体" w:hAnsi="宋体"/>
                <w:bCs/>
                <w:color w:val="auto"/>
                <w:highlight w:val="none"/>
              </w:rPr>
              <w:t>补遗书编号（如有）</w:t>
            </w:r>
            <w:r>
              <w:rPr>
                <w:rFonts w:hint="eastAsia" w:ascii="宋体" w:hAnsi="宋体" w:cs="宋体"/>
                <w:color w:val="auto"/>
                <w:highlight w:val="none"/>
              </w:rPr>
              <w:t>、</w:t>
            </w:r>
            <w:r>
              <w:rPr>
                <w:rFonts w:hint="eastAsia" w:ascii="宋体" w:hAnsi="宋体"/>
                <w:color w:val="auto"/>
                <w:highlight w:val="none"/>
              </w:rPr>
              <w:t>投标报价、</w:t>
            </w:r>
            <w:r>
              <w:rPr>
                <w:rFonts w:hint="eastAsia" w:ascii="宋体" w:hAnsi="宋体" w:cs="宋体"/>
                <w:color w:val="auto"/>
                <w:highlight w:val="none"/>
                <w:lang w:eastAsia="zh-CN"/>
              </w:rPr>
              <w:t>计划工期</w:t>
            </w:r>
            <w:r>
              <w:rPr>
                <w:rFonts w:hint="eastAsia" w:ascii="宋体" w:hAnsi="宋体" w:cs="宋体"/>
                <w:color w:val="auto"/>
                <w:highlight w:val="none"/>
              </w:rPr>
              <w:t>、质量要求</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安全目标</w:t>
            </w:r>
            <w:r>
              <w:rPr>
                <w:rFonts w:hint="eastAsia" w:ascii="宋体" w:hAnsi="宋体" w:cs="宋体"/>
                <w:color w:val="auto"/>
                <w:highlight w:val="none"/>
              </w:rPr>
              <w:t>等；</w:t>
            </w:r>
          </w:p>
          <w:p w14:paraId="5C09F505">
            <w:pPr>
              <w:adjustRightInd w:val="0"/>
              <w:snapToGrid w:val="0"/>
              <w:spacing w:line="340" w:lineRule="exact"/>
              <w:jc w:val="left"/>
              <w:rPr>
                <w:rFonts w:ascii="宋体" w:hAnsi="宋体"/>
                <w:bCs/>
                <w:color w:val="auto"/>
                <w:highlight w:val="none"/>
              </w:rPr>
            </w:pPr>
            <w:r>
              <w:rPr>
                <w:rFonts w:hint="eastAsia" w:ascii="宋体" w:hAnsi="宋体"/>
                <w:bCs/>
                <w:color w:val="auto"/>
                <w:highlight w:val="none"/>
              </w:rPr>
              <w:t>b.投标文件组成齐全完整，内容均按规定填写。</w:t>
            </w:r>
          </w:p>
          <w:p w14:paraId="3E1E1612">
            <w:pPr>
              <w:adjustRightInd w:val="0"/>
              <w:snapToGrid w:val="0"/>
              <w:spacing w:line="340" w:lineRule="exact"/>
              <w:jc w:val="left"/>
              <w:rPr>
                <w:rFonts w:ascii="宋体" w:hAnsi="宋体"/>
                <w:bCs/>
                <w:color w:val="auto"/>
                <w:highlight w:val="none"/>
              </w:rPr>
            </w:pPr>
            <w:r>
              <w:rPr>
                <w:rFonts w:hint="eastAsia" w:ascii="宋体" w:hAnsi="宋体"/>
                <w:bCs/>
                <w:color w:val="auto"/>
                <w:highlight w:val="none"/>
              </w:rPr>
              <w:t>（2）投标文件上法定代表人或其委托代理人的签字、投标人的单位章盖章齐全，符合招标文件规定。</w:t>
            </w:r>
          </w:p>
          <w:p w14:paraId="60148602">
            <w:pPr>
              <w:keepNext w:val="0"/>
              <w:keepLines w:val="0"/>
              <w:pageBreakBefore w:val="0"/>
              <w:shd w:val="clear" w:color="auto" w:fill="auto"/>
              <w:tabs>
                <w:tab w:val="left" w:pos="3060"/>
              </w:tabs>
              <w:kinsoku/>
              <w:wordWrap/>
              <w:overflowPunct/>
              <w:topLinePunct w:val="0"/>
              <w:autoSpaceDE/>
              <w:autoSpaceDN/>
              <w:bidi w:val="0"/>
              <w:snapToGrid/>
              <w:spacing w:line="36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）投标人法定代表人授权委托代理人签署投标文件的，须提交授权委托书，</w:t>
            </w:r>
            <w:r>
              <w:rPr>
                <w:rFonts w:hint="eastAsia" w:ascii="宋体" w:hAnsi="宋体" w:cs="宋体"/>
                <w:color w:val="auto"/>
                <w:sz w:val="21"/>
                <w:szCs w:val="21"/>
                <w:highlight w:val="none"/>
                <w:lang w:val="en-US" w:eastAsia="zh-CN"/>
              </w:rPr>
              <w:t>授权委托书的签字盖章符合招标文件规定</w:t>
            </w:r>
            <w:r>
              <w:rPr>
                <w:rFonts w:hint="eastAsia" w:ascii="宋体" w:hAnsi="宋体" w:cs="宋体"/>
                <w:color w:val="auto"/>
                <w:sz w:val="21"/>
                <w:szCs w:val="21"/>
                <w:highlight w:val="none"/>
                <w:lang w:eastAsia="zh-CN"/>
              </w:rPr>
              <w:t>。</w:t>
            </w:r>
          </w:p>
          <w:p w14:paraId="0E157AD2">
            <w:pPr>
              <w:keepNext w:val="0"/>
              <w:keepLines w:val="0"/>
              <w:pageBreakBefore w:val="0"/>
              <w:shd w:val="clear" w:color="auto" w:fill="auto"/>
              <w:tabs>
                <w:tab w:val="left" w:pos="3060"/>
              </w:tabs>
              <w:kinsoku/>
              <w:wordWrap/>
              <w:overflowPunct/>
              <w:topLinePunct w:val="0"/>
              <w:autoSpaceDE/>
              <w:autoSpaceDN/>
              <w:bidi w:val="0"/>
              <w:snapToGrid/>
              <w:spacing w:line="360" w:lineRule="exact"/>
              <w:rPr>
                <w:rFonts w:ascii="宋体" w:hAnsi="宋体"/>
                <w:bCs/>
                <w:color w:val="auto"/>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）投标人法定代表人亲自签署投标文件的，提供了法定代表人身份证明，并符合招标文件的规定</w:t>
            </w:r>
            <w:r>
              <w:rPr>
                <w:rFonts w:hint="eastAsia" w:ascii="宋体" w:hAnsi="宋体"/>
                <w:bCs/>
                <w:color w:val="auto"/>
                <w:highlight w:val="none"/>
              </w:rPr>
              <w:t>。</w:t>
            </w:r>
          </w:p>
          <w:p w14:paraId="17281A43">
            <w:pPr>
              <w:snapToGrid w:val="0"/>
              <w:spacing w:line="340" w:lineRule="exact"/>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5</w:t>
            </w:r>
            <w:r>
              <w:rPr>
                <w:rFonts w:hint="eastAsia" w:ascii="宋体" w:hAnsi="宋体"/>
                <w:color w:val="auto"/>
                <w:highlight w:val="none"/>
              </w:rPr>
              <w:t>）</w:t>
            </w:r>
            <w:r>
              <w:rPr>
                <w:rFonts w:ascii="宋体" w:hAnsi="宋体"/>
                <w:color w:val="auto"/>
                <w:highlight w:val="none"/>
              </w:rPr>
              <w:t>投标人未对本项目提出分包计划</w:t>
            </w:r>
            <w:r>
              <w:rPr>
                <w:rFonts w:hint="eastAsia" w:ascii="宋体" w:hAnsi="宋体"/>
                <w:color w:val="auto"/>
                <w:highlight w:val="none"/>
              </w:rPr>
              <w:t>。</w:t>
            </w:r>
          </w:p>
          <w:p w14:paraId="31E995DF">
            <w:pPr>
              <w:snapToGrid w:val="0"/>
              <w:spacing w:line="340" w:lineRule="exact"/>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6</w:t>
            </w:r>
            <w:r>
              <w:rPr>
                <w:rFonts w:hint="eastAsia" w:ascii="宋体" w:hAnsi="宋体"/>
                <w:color w:val="auto"/>
                <w:highlight w:val="none"/>
              </w:rPr>
              <w:t>）投标人未以联合体形式投标。</w:t>
            </w:r>
          </w:p>
          <w:p w14:paraId="6BE141EC">
            <w:pPr>
              <w:adjustRightInd w:val="0"/>
              <w:snapToGrid w:val="0"/>
              <w:spacing w:line="340" w:lineRule="exact"/>
              <w:jc w:val="left"/>
              <w:rPr>
                <w:rFonts w:ascii="宋体" w:hAnsi="宋体"/>
                <w:bCs/>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7</w:t>
            </w:r>
            <w:r>
              <w:rPr>
                <w:rFonts w:hint="eastAsia" w:ascii="宋体" w:hAnsi="宋体"/>
                <w:color w:val="auto"/>
                <w:highlight w:val="none"/>
              </w:rPr>
              <w:t>）</w:t>
            </w:r>
            <w:r>
              <w:rPr>
                <w:rFonts w:hint="eastAsia" w:ascii="宋体" w:hAnsi="宋体"/>
                <w:bCs/>
                <w:color w:val="auto"/>
                <w:highlight w:val="none"/>
              </w:rPr>
              <w:t>同一投标人</w:t>
            </w:r>
            <w:r>
              <w:rPr>
                <w:rFonts w:hint="eastAsia" w:ascii="宋体" w:hAnsi="宋体"/>
                <w:bCs/>
                <w:color w:val="auto"/>
                <w:highlight w:val="none"/>
                <w:lang w:val="en-US" w:eastAsia="zh-CN"/>
              </w:rPr>
              <w:t>同一标段</w:t>
            </w:r>
            <w:r>
              <w:rPr>
                <w:rFonts w:hint="eastAsia" w:ascii="宋体" w:hAnsi="宋体"/>
                <w:bCs/>
                <w:color w:val="auto"/>
                <w:highlight w:val="none"/>
              </w:rPr>
              <w:t>未提交两个以上不同的投标文件。</w:t>
            </w:r>
          </w:p>
          <w:p w14:paraId="0F82C098">
            <w:pPr>
              <w:adjustRightInd w:val="0"/>
              <w:snapToGrid w:val="0"/>
              <w:spacing w:line="340" w:lineRule="exact"/>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（8）投标人递交的投标文件与所投标段一致。</w:t>
            </w:r>
          </w:p>
          <w:p w14:paraId="4D80FADC">
            <w:pPr>
              <w:adjustRightInd w:val="0"/>
              <w:snapToGrid w:val="0"/>
              <w:spacing w:line="340" w:lineRule="exact"/>
              <w:jc w:val="left"/>
              <w:rPr>
                <w:rFonts w:ascii="宋体" w:hAnsi="宋体"/>
                <w:bCs/>
                <w:color w:val="auto"/>
                <w:highlight w:val="none"/>
              </w:rPr>
            </w:pPr>
            <w:r>
              <w:rPr>
                <w:rFonts w:hint="eastAsia" w:ascii="宋体" w:hAnsi="宋体"/>
                <w:bCs/>
                <w:color w:val="auto"/>
                <w:highlight w:val="none"/>
              </w:rPr>
              <w:t>（</w:t>
            </w:r>
            <w:r>
              <w:rPr>
                <w:rFonts w:hint="eastAsia" w:ascii="宋体" w:hAnsi="宋体"/>
                <w:bCs/>
                <w:color w:val="auto"/>
                <w:highlight w:val="none"/>
                <w:lang w:val="en-US" w:eastAsia="zh-CN"/>
              </w:rPr>
              <w:t>9</w:t>
            </w:r>
            <w:r>
              <w:rPr>
                <w:rFonts w:hint="eastAsia" w:ascii="宋体" w:hAnsi="宋体"/>
                <w:bCs/>
                <w:color w:val="auto"/>
                <w:highlight w:val="none"/>
              </w:rPr>
              <w:t>）投标报价未超过招标文件设定的最高投标限价。</w:t>
            </w:r>
          </w:p>
          <w:p w14:paraId="2C1F7A73">
            <w:pPr>
              <w:adjustRightInd w:val="0"/>
              <w:snapToGrid w:val="0"/>
              <w:spacing w:line="340" w:lineRule="exact"/>
              <w:jc w:val="left"/>
              <w:rPr>
                <w:rFonts w:ascii="宋体" w:hAnsi="宋体"/>
                <w:color w:val="auto"/>
                <w:highlight w:val="none"/>
              </w:rPr>
            </w:pPr>
            <w:r>
              <w:rPr>
                <w:rFonts w:hint="eastAsia" w:ascii="宋体" w:hAnsi="宋体"/>
                <w:bCs/>
                <w:color w:val="auto"/>
                <w:highlight w:val="none"/>
              </w:rPr>
              <w:t>（</w:t>
            </w:r>
            <w:r>
              <w:rPr>
                <w:rFonts w:hint="eastAsia" w:ascii="宋体" w:hAnsi="宋体"/>
                <w:bCs/>
                <w:color w:val="auto"/>
                <w:highlight w:val="none"/>
                <w:lang w:val="en-US" w:eastAsia="zh-CN"/>
              </w:rPr>
              <w:t>10</w:t>
            </w:r>
            <w:r>
              <w:rPr>
                <w:rFonts w:hint="eastAsia" w:ascii="宋体" w:hAnsi="宋体"/>
                <w:bCs/>
                <w:color w:val="auto"/>
                <w:highlight w:val="none"/>
              </w:rPr>
              <w:t>）投标报价的大写金额能够确定具体数值</w:t>
            </w:r>
            <w:r>
              <w:rPr>
                <w:rFonts w:hint="eastAsia" w:ascii="宋体" w:hAnsi="宋体"/>
                <w:color w:val="auto"/>
                <w:highlight w:val="none"/>
              </w:rPr>
              <w:t>。</w:t>
            </w:r>
          </w:p>
          <w:p w14:paraId="7AB408AE">
            <w:pPr>
              <w:adjustRightInd w:val="0"/>
              <w:snapToGrid w:val="0"/>
              <w:spacing w:line="340" w:lineRule="exact"/>
              <w:jc w:val="left"/>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1</w:t>
            </w:r>
            <w:r>
              <w:rPr>
                <w:rFonts w:hint="eastAsia" w:ascii="宋体" w:hAnsi="宋体"/>
                <w:color w:val="auto"/>
                <w:highlight w:val="none"/>
              </w:rPr>
              <w:t>）投标文件载明的招标项目完成期限符合招标文件规定。</w:t>
            </w:r>
          </w:p>
          <w:p w14:paraId="3CF37CBB">
            <w:pPr>
              <w:adjustRightInd w:val="0"/>
              <w:snapToGrid w:val="0"/>
              <w:spacing w:line="340" w:lineRule="exact"/>
              <w:jc w:val="left"/>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2</w:t>
            </w:r>
            <w:r>
              <w:rPr>
                <w:rFonts w:hint="eastAsia" w:ascii="宋体" w:hAnsi="宋体"/>
                <w:color w:val="auto"/>
                <w:highlight w:val="none"/>
              </w:rPr>
              <w:t>）投标文件对招标文件的实质性要求和条件作出响应。</w:t>
            </w:r>
          </w:p>
          <w:p w14:paraId="51BFDAFB">
            <w:pPr>
              <w:adjustRightInd w:val="0"/>
              <w:snapToGrid w:val="0"/>
              <w:spacing w:line="340" w:lineRule="exact"/>
              <w:jc w:val="left"/>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3</w:t>
            </w:r>
            <w:r>
              <w:rPr>
                <w:rFonts w:hint="eastAsia" w:ascii="宋体" w:hAnsi="宋体"/>
                <w:color w:val="auto"/>
                <w:highlight w:val="none"/>
              </w:rPr>
              <w:t>）权利义务符合招标文件规定：</w:t>
            </w:r>
          </w:p>
          <w:p w14:paraId="142AB1DA">
            <w:pPr>
              <w:adjustRightInd w:val="0"/>
              <w:snapToGrid w:val="0"/>
              <w:spacing w:line="340" w:lineRule="exact"/>
              <w:jc w:val="left"/>
              <w:rPr>
                <w:rFonts w:ascii="宋体" w:hAnsi="宋体"/>
                <w:color w:val="auto"/>
                <w:highlight w:val="none"/>
              </w:rPr>
            </w:pPr>
            <w:r>
              <w:rPr>
                <w:rFonts w:hint="eastAsia" w:ascii="宋体" w:hAnsi="宋体"/>
                <w:color w:val="auto"/>
                <w:highlight w:val="none"/>
              </w:rPr>
              <w:t>a.投标人应接受招标文件规定的风险划分原则，未提出新的风险划分办法；</w:t>
            </w:r>
          </w:p>
          <w:p w14:paraId="3C59EF5C">
            <w:pPr>
              <w:adjustRightInd w:val="0"/>
              <w:snapToGrid w:val="0"/>
              <w:spacing w:line="340" w:lineRule="exact"/>
              <w:jc w:val="left"/>
              <w:rPr>
                <w:rFonts w:ascii="宋体" w:hAnsi="宋体"/>
                <w:color w:val="auto"/>
                <w:highlight w:val="none"/>
              </w:rPr>
            </w:pPr>
            <w:r>
              <w:rPr>
                <w:rFonts w:hint="eastAsia" w:ascii="宋体" w:hAnsi="宋体"/>
                <w:color w:val="auto"/>
                <w:highlight w:val="none"/>
              </w:rPr>
              <w:t>b.投标人未增加委托人的责任范围，或减少投标人义务；</w:t>
            </w:r>
          </w:p>
          <w:p w14:paraId="13D50085">
            <w:pPr>
              <w:adjustRightInd w:val="0"/>
              <w:snapToGrid w:val="0"/>
              <w:spacing w:line="340" w:lineRule="exact"/>
              <w:jc w:val="left"/>
              <w:rPr>
                <w:rFonts w:ascii="宋体" w:hAnsi="宋体"/>
                <w:color w:val="auto"/>
                <w:highlight w:val="none"/>
              </w:rPr>
            </w:pPr>
            <w:r>
              <w:rPr>
                <w:rFonts w:hint="eastAsia" w:ascii="宋体" w:hAnsi="宋体"/>
                <w:color w:val="auto"/>
                <w:highlight w:val="none"/>
              </w:rPr>
              <w:t>c.投标人未提出不同的支付办法；</w:t>
            </w:r>
          </w:p>
          <w:p w14:paraId="036F0646">
            <w:pPr>
              <w:adjustRightInd w:val="0"/>
              <w:snapToGrid w:val="0"/>
              <w:spacing w:line="340" w:lineRule="exact"/>
              <w:jc w:val="left"/>
              <w:rPr>
                <w:rFonts w:ascii="宋体" w:hAnsi="宋体"/>
                <w:color w:val="auto"/>
                <w:highlight w:val="none"/>
              </w:rPr>
            </w:pPr>
            <w:r>
              <w:rPr>
                <w:rFonts w:hint="eastAsia" w:ascii="宋体" w:hAnsi="宋体"/>
                <w:color w:val="auto"/>
                <w:highlight w:val="none"/>
              </w:rPr>
              <w:t>d.投标人对合同纠纷、事故处理办法未提出异议；</w:t>
            </w:r>
          </w:p>
          <w:p w14:paraId="4285CAFB">
            <w:pPr>
              <w:adjustRightInd w:val="0"/>
              <w:snapToGrid w:val="0"/>
              <w:spacing w:line="340" w:lineRule="exact"/>
              <w:jc w:val="left"/>
              <w:rPr>
                <w:rFonts w:ascii="宋体" w:hAnsi="宋体"/>
                <w:color w:val="auto"/>
                <w:highlight w:val="none"/>
              </w:rPr>
            </w:pPr>
            <w:r>
              <w:rPr>
                <w:rFonts w:hint="eastAsia" w:ascii="宋体" w:hAnsi="宋体"/>
                <w:color w:val="auto"/>
                <w:highlight w:val="none"/>
              </w:rPr>
              <w:t>e.投标人在投标活动中无欺诈行为；</w:t>
            </w:r>
          </w:p>
          <w:p w14:paraId="71E56868">
            <w:pPr>
              <w:adjustRightInd w:val="0"/>
              <w:snapToGrid w:val="0"/>
              <w:spacing w:line="340" w:lineRule="exact"/>
              <w:jc w:val="left"/>
              <w:rPr>
                <w:rFonts w:ascii="宋体" w:hAnsi="宋体"/>
                <w:color w:val="auto"/>
                <w:highlight w:val="none"/>
              </w:rPr>
            </w:pPr>
            <w:r>
              <w:rPr>
                <w:rFonts w:hint="eastAsia" w:ascii="宋体" w:hAnsi="宋体"/>
                <w:color w:val="auto"/>
                <w:highlight w:val="none"/>
              </w:rPr>
              <w:t>f.投标人未对合同条款有重要保留。</w:t>
            </w:r>
          </w:p>
        </w:tc>
      </w:tr>
      <w:tr w14:paraId="711D3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2648DD9F">
            <w:pPr>
              <w:snapToGrid w:val="0"/>
              <w:spacing w:line="340" w:lineRule="exact"/>
              <w:jc w:val="center"/>
              <w:rPr>
                <w:rFonts w:ascii="宋体" w:hAnsi="宋体" w:cs="宋体"/>
                <w:color w:val="auto"/>
                <w:kern w:val="28"/>
                <w:highlight w:val="none"/>
              </w:rPr>
            </w:pPr>
            <w:r>
              <w:rPr>
                <w:rFonts w:hint="eastAsia" w:ascii="宋体" w:hAnsi="宋体"/>
                <w:color w:val="auto"/>
                <w:kern w:val="28"/>
                <w:highlight w:val="none"/>
              </w:rPr>
              <w:t>2.1.2</w:t>
            </w:r>
          </w:p>
        </w:tc>
        <w:tc>
          <w:tcPr>
            <w:tcW w:w="1231" w:type="dxa"/>
            <w:tcBorders>
              <w:top w:val="single" w:color="auto" w:sz="4" w:space="0"/>
              <w:left w:val="single" w:color="auto" w:sz="4" w:space="0"/>
              <w:bottom w:val="single" w:color="auto" w:sz="4" w:space="0"/>
              <w:right w:val="single" w:color="auto" w:sz="4" w:space="0"/>
            </w:tcBorders>
            <w:vAlign w:val="center"/>
          </w:tcPr>
          <w:p w14:paraId="51674B7A">
            <w:pPr>
              <w:snapToGrid w:val="0"/>
              <w:spacing w:line="340" w:lineRule="exact"/>
              <w:jc w:val="center"/>
              <w:rPr>
                <w:rFonts w:ascii="宋体" w:hAnsi="宋体" w:cs="宋体"/>
                <w:color w:val="auto"/>
                <w:kern w:val="28"/>
                <w:highlight w:val="none"/>
              </w:rPr>
            </w:pPr>
            <w:r>
              <w:rPr>
                <w:rFonts w:hint="eastAsia" w:ascii="宋体" w:hAnsi="宋体"/>
                <w:color w:val="auto"/>
                <w:kern w:val="28"/>
                <w:highlight w:val="none"/>
              </w:rPr>
              <w:t>资格评审标准</w:t>
            </w:r>
          </w:p>
        </w:tc>
        <w:tc>
          <w:tcPr>
            <w:tcW w:w="7452" w:type="dxa"/>
            <w:tcBorders>
              <w:top w:val="single" w:color="auto" w:sz="4" w:space="0"/>
              <w:left w:val="single" w:color="auto" w:sz="4" w:space="0"/>
              <w:bottom w:val="single" w:color="auto" w:sz="4" w:space="0"/>
              <w:right w:val="single" w:color="auto" w:sz="4" w:space="0"/>
            </w:tcBorders>
          </w:tcPr>
          <w:p w14:paraId="0115D8B2">
            <w:pPr>
              <w:snapToGrid w:val="0"/>
              <w:spacing w:line="340" w:lineRule="exact"/>
              <w:rPr>
                <w:rFonts w:ascii="宋体" w:hAnsi="宋体" w:cs="宋体"/>
                <w:color w:val="auto"/>
                <w:highlight w:val="none"/>
              </w:rPr>
            </w:pPr>
            <w:r>
              <w:rPr>
                <w:rFonts w:hint="eastAsia" w:ascii="宋体" w:hAnsi="宋体"/>
                <w:color w:val="auto"/>
                <w:highlight w:val="none"/>
              </w:rPr>
              <w:t>（1）</w:t>
            </w:r>
            <w:r>
              <w:rPr>
                <w:rFonts w:hint="eastAsia" w:ascii="宋体" w:hAnsi="宋体"/>
                <w:color w:val="auto"/>
                <w:kern w:val="28"/>
                <w:highlight w:val="none"/>
              </w:rPr>
              <w:t>投标人具备有效的营业执照、基本账户开户许可证（或基本存款账户信息）。</w:t>
            </w:r>
          </w:p>
          <w:p w14:paraId="23296B64">
            <w:pPr>
              <w:adjustRightInd w:val="0"/>
              <w:snapToGrid w:val="0"/>
              <w:spacing w:line="340" w:lineRule="exact"/>
              <w:jc w:val="left"/>
              <w:rPr>
                <w:rFonts w:ascii="宋体" w:hAnsi="宋体"/>
                <w:color w:val="auto"/>
                <w:highlight w:val="none"/>
              </w:rPr>
            </w:pPr>
            <w:r>
              <w:rPr>
                <w:rFonts w:hint="eastAsia" w:ascii="宋体" w:hAnsi="宋体"/>
                <w:color w:val="auto"/>
                <w:highlight w:val="none"/>
              </w:rPr>
              <w:t>（2）投标人的资质条件符合招标文件的规定。</w:t>
            </w:r>
          </w:p>
          <w:p w14:paraId="0DC460FF">
            <w:pPr>
              <w:adjustRightInd w:val="0"/>
              <w:snapToGrid w:val="0"/>
              <w:spacing w:line="340" w:lineRule="exact"/>
              <w:jc w:val="left"/>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）投标人的</w:t>
            </w:r>
            <w:r>
              <w:rPr>
                <w:rFonts w:hint="eastAsia" w:ascii="宋体" w:hAnsi="宋体"/>
                <w:color w:val="auto"/>
                <w:highlight w:val="none"/>
                <w:lang w:val="en-US" w:eastAsia="zh-CN"/>
              </w:rPr>
              <w:t>业绩</w:t>
            </w:r>
            <w:r>
              <w:rPr>
                <w:rFonts w:hint="eastAsia" w:ascii="宋体" w:hAnsi="宋体"/>
                <w:color w:val="auto"/>
                <w:highlight w:val="none"/>
              </w:rPr>
              <w:t>符合招标文件规定。</w:t>
            </w:r>
          </w:p>
          <w:p w14:paraId="15BA6BC3">
            <w:pPr>
              <w:adjustRightInd w:val="0"/>
              <w:snapToGrid w:val="0"/>
              <w:spacing w:line="340" w:lineRule="exact"/>
              <w:jc w:val="left"/>
              <w:rPr>
                <w:rFonts w:hint="eastAsia" w:ascii="宋体" w:hAnsi="宋体" w:eastAsia="宋体"/>
                <w:color w:val="auto"/>
                <w:highlight w:val="none"/>
                <w:lang w:eastAsia="zh-CN"/>
              </w:rPr>
            </w:pPr>
            <w:r>
              <w:rPr>
                <w:rFonts w:hint="eastAsia" w:ascii="宋体" w:hAnsi="宋体"/>
                <w:color w:val="auto"/>
                <w:highlight w:val="none"/>
              </w:rPr>
              <w:t>（</w:t>
            </w:r>
            <w:r>
              <w:rPr>
                <w:rFonts w:hint="eastAsia" w:ascii="宋体" w:hAnsi="宋体"/>
                <w:color w:val="auto"/>
                <w:highlight w:val="none"/>
                <w:lang w:val="en-US" w:eastAsia="zh-CN"/>
              </w:rPr>
              <w:t>4</w:t>
            </w:r>
            <w:r>
              <w:rPr>
                <w:rFonts w:hint="eastAsia" w:ascii="宋体" w:hAnsi="宋体"/>
                <w:color w:val="auto"/>
                <w:highlight w:val="none"/>
              </w:rPr>
              <w:t>）投标人的信誉符合招标文件规定</w:t>
            </w:r>
            <w:r>
              <w:rPr>
                <w:rFonts w:hint="eastAsia" w:ascii="宋体" w:hAnsi="宋体"/>
                <w:color w:val="auto"/>
                <w:highlight w:val="none"/>
                <w:lang w:eastAsia="zh-CN"/>
              </w:rPr>
              <w:t>。</w:t>
            </w:r>
          </w:p>
          <w:p w14:paraId="47BE8424">
            <w:pPr>
              <w:adjustRightInd w:val="0"/>
              <w:snapToGrid w:val="0"/>
              <w:spacing w:line="340" w:lineRule="exact"/>
              <w:jc w:val="left"/>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5</w:t>
            </w:r>
            <w:r>
              <w:rPr>
                <w:rFonts w:hint="eastAsia" w:ascii="宋体" w:hAnsi="宋体"/>
                <w:color w:val="auto"/>
                <w:highlight w:val="none"/>
              </w:rPr>
              <w:t>）投标人的</w:t>
            </w:r>
            <w:r>
              <w:rPr>
                <w:rFonts w:hint="eastAsia" w:ascii="宋体" w:hAnsi="宋体"/>
                <w:color w:val="auto"/>
                <w:highlight w:val="none"/>
                <w:lang w:val="en-US" w:eastAsia="zh-CN"/>
              </w:rPr>
              <w:t>其他要求</w:t>
            </w:r>
            <w:r>
              <w:rPr>
                <w:rFonts w:hint="eastAsia" w:ascii="宋体" w:hAnsi="宋体"/>
                <w:color w:val="auto"/>
                <w:highlight w:val="none"/>
              </w:rPr>
              <w:t>符合招标文件规定。</w:t>
            </w:r>
          </w:p>
          <w:p w14:paraId="1AA71FEB">
            <w:pPr>
              <w:adjustRightInd w:val="0"/>
              <w:snapToGrid w:val="0"/>
              <w:spacing w:line="340" w:lineRule="exact"/>
              <w:jc w:val="left"/>
              <w:rPr>
                <w:rFonts w:ascii="宋体" w:hAnsi="宋体" w:cs="宋体"/>
                <w:color w:val="auto"/>
                <w:kern w:val="28"/>
                <w:highlight w:val="none"/>
              </w:rPr>
            </w:pPr>
            <w:r>
              <w:rPr>
                <w:rFonts w:hint="eastAsia" w:ascii="宋体" w:hAnsi="宋体"/>
                <w:color w:val="auto"/>
                <w:highlight w:val="none"/>
              </w:rPr>
              <w:t>（</w:t>
            </w:r>
            <w:r>
              <w:rPr>
                <w:rFonts w:hint="eastAsia" w:ascii="宋体" w:hAnsi="宋体"/>
                <w:color w:val="auto"/>
                <w:highlight w:val="none"/>
                <w:lang w:val="en-US" w:eastAsia="zh-CN"/>
              </w:rPr>
              <w:t>6</w:t>
            </w:r>
            <w:r>
              <w:rPr>
                <w:rFonts w:hint="eastAsia" w:ascii="宋体" w:hAnsi="宋体"/>
                <w:color w:val="auto"/>
                <w:highlight w:val="none"/>
              </w:rPr>
              <w:t>）投标人不存在第二章“投标人须知”第1.4.3项规定的任何一种情形。</w:t>
            </w:r>
          </w:p>
        </w:tc>
      </w:tr>
      <w:tr w14:paraId="0CE9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4E442FBD">
            <w:pPr>
              <w:autoSpaceDE w:val="0"/>
              <w:autoSpaceDN w:val="0"/>
              <w:adjustRightInd w:val="0"/>
              <w:snapToGrid w:val="0"/>
              <w:spacing w:after="100" w:afterAutospacing="1" w:line="340" w:lineRule="exact"/>
              <w:jc w:val="center"/>
              <w:rPr>
                <w:rFonts w:ascii="宋体" w:cs="宋体"/>
                <w:color w:val="auto"/>
                <w:kern w:val="0"/>
                <w:highlight w:val="none"/>
              </w:rPr>
            </w:pPr>
            <w:r>
              <w:rPr>
                <w:rFonts w:ascii="宋体" w:hAnsi="宋体" w:cs="宋体"/>
                <w:color w:val="auto"/>
                <w:kern w:val="0"/>
                <w:highlight w:val="none"/>
              </w:rPr>
              <w:t>2.2.1</w:t>
            </w:r>
          </w:p>
        </w:tc>
        <w:tc>
          <w:tcPr>
            <w:tcW w:w="1231" w:type="dxa"/>
            <w:tcBorders>
              <w:top w:val="single" w:color="auto" w:sz="4" w:space="0"/>
              <w:left w:val="single" w:color="auto" w:sz="4" w:space="0"/>
              <w:bottom w:val="single" w:color="auto" w:sz="4" w:space="0"/>
              <w:right w:val="single" w:color="auto" w:sz="4" w:space="0"/>
            </w:tcBorders>
            <w:vAlign w:val="center"/>
          </w:tcPr>
          <w:p w14:paraId="516A3798">
            <w:pPr>
              <w:autoSpaceDE w:val="0"/>
              <w:autoSpaceDN w:val="0"/>
              <w:adjustRightInd w:val="0"/>
              <w:snapToGrid w:val="0"/>
              <w:spacing w:after="100" w:afterAutospacing="1" w:line="340" w:lineRule="exact"/>
              <w:jc w:val="center"/>
              <w:rPr>
                <w:rFonts w:ascii="宋体" w:cs="宋体"/>
                <w:color w:val="auto"/>
                <w:kern w:val="0"/>
                <w:highlight w:val="none"/>
              </w:rPr>
            </w:pPr>
            <w:r>
              <w:rPr>
                <w:rFonts w:hint="eastAsia" w:ascii="宋体" w:hAnsi="宋体" w:cs="宋体"/>
                <w:color w:val="auto"/>
                <w:kern w:val="0"/>
                <w:highlight w:val="none"/>
              </w:rPr>
              <w:t>分值</w:t>
            </w:r>
            <w:r>
              <w:rPr>
                <w:rFonts w:hint="eastAsia" w:ascii="宋体" w:hAnsi="宋体" w:cs="宋体"/>
                <w:color w:val="auto"/>
                <w:spacing w:val="-2"/>
                <w:kern w:val="0"/>
                <w:highlight w:val="none"/>
              </w:rPr>
              <w:t>构</w:t>
            </w:r>
            <w:r>
              <w:rPr>
                <w:rFonts w:hint="eastAsia" w:ascii="宋体" w:hAnsi="宋体" w:cs="宋体"/>
                <w:color w:val="auto"/>
                <w:kern w:val="0"/>
                <w:highlight w:val="none"/>
              </w:rPr>
              <w:t>成</w:t>
            </w:r>
          </w:p>
          <w:p w14:paraId="501E722E">
            <w:pPr>
              <w:autoSpaceDE w:val="0"/>
              <w:autoSpaceDN w:val="0"/>
              <w:adjustRightInd w:val="0"/>
              <w:snapToGrid w:val="0"/>
              <w:spacing w:after="100" w:afterAutospacing="1" w:line="340" w:lineRule="exact"/>
              <w:jc w:val="center"/>
              <w:rPr>
                <w:rFonts w:ascii="宋体" w:cs="宋体"/>
                <w:color w:val="auto"/>
                <w:kern w:val="0"/>
                <w:highlight w:val="none"/>
              </w:rPr>
            </w:pPr>
            <w:r>
              <w:rPr>
                <w:rFonts w:ascii="宋体" w:hAnsi="宋体" w:cs="宋体"/>
                <w:color w:val="auto"/>
                <w:spacing w:val="-1"/>
                <w:kern w:val="0"/>
                <w:highlight w:val="none"/>
              </w:rPr>
              <w:t>(</w:t>
            </w:r>
            <w:r>
              <w:rPr>
                <w:rFonts w:hint="eastAsia" w:ascii="宋体" w:hAnsi="宋体" w:cs="宋体"/>
                <w:color w:val="auto"/>
                <w:kern w:val="0"/>
                <w:highlight w:val="none"/>
              </w:rPr>
              <w:t>总分</w:t>
            </w:r>
            <w:r>
              <w:rPr>
                <w:rFonts w:ascii="宋体" w:hAnsi="宋体" w:cs="宋体"/>
                <w:color w:val="auto"/>
                <w:kern w:val="0"/>
                <w:highlight w:val="none"/>
              </w:rPr>
              <w:t>1</w:t>
            </w:r>
            <w:r>
              <w:rPr>
                <w:rFonts w:ascii="宋体" w:cs="宋体"/>
                <w:color w:val="auto"/>
                <w:spacing w:val="-2"/>
                <w:kern w:val="0"/>
                <w:highlight w:val="none"/>
              </w:rPr>
              <w:t>0</w:t>
            </w:r>
            <w:r>
              <w:rPr>
                <w:rFonts w:ascii="宋体" w:hAnsi="宋体" w:cs="宋体"/>
                <w:color w:val="auto"/>
                <w:kern w:val="0"/>
                <w:highlight w:val="none"/>
              </w:rPr>
              <w:t xml:space="preserve">0 </w:t>
            </w:r>
            <w:r>
              <w:rPr>
                <w:rFonts w:hint="eastAsia" w:ascii="宋体" w:hAnsi="宋体" w:cs="宋体"/>
                <w:color w:val="auto"/>
                <w:kern w:val="0"/>
                <w:highlight w:val="none"/>
              </w:rPr>
              <w:t>分</w:t>
            </w:r>
            <w:r>
              <w:rPr>
                <w:rFonts w:ascii="宋体" w:hAnsi="宋体" w:cs="宋体"/>
                <w:color w:val="auto"/>
                <w:kern w:val="0"/>
                <w:highlight w:val="none"/>
              </w:rPr>
              <w:t>)</w:t>
            </w:r>
          </w:p>
        </w:tc>
        <w:tc>
          <w:tcPr>
            <w:tcW w:w="7452" w:type="dxa"/>
            <w:tcBorders>
              <w:top w:val="single" w:color="auto" w:sz="4" w:space="0"/>
              <w:left w:val="single" w:color="auto" w:sz="4" w:space="0"/>
              <w:bottom w:val="single" w:color="auto" w:sz="4" w:space="0"/>
              <w:right w:val="single" w:color="auto" w:sz="4" w:space="0"/>
            </w:tcBorders>
          </w:tcPr>
          <w:p w14:paraId="4B9D1E44">
            <w:pPr>
              <w:autoSpaceDE w:val="0"/>
              <w:autoSpaceDN w:val="0"/>
              <w:adjustRightInd w:val="0"/>
              <w:snapToGrid w:val="0"/>
              <w:spacing w:line="340" w:lineRule="exact"/>
              <w:rPr>
                <w:rFonts w:ascii="宋体" w:hAnsi="宋体" w:cs="宋体"/>
                <w:color w:val="auto"/>
                <w:kern w:val="0"/>
                <w:highlight w:val="none"/>
              </w:rPr>
            </w:pPr>
          </w:p>
          <w:p w14:paraId="0B05D757">
            <w:pPr>
              <w:autoSpaceDE w:val="0"/>
              <w:autoSpaceDN w:val="0"/>
              <w:adjustRightInd w:val="0"/>
              <w:snapToGrid w:val="0"/>
              <w:spacing w:line="340" w:lineRule="exact"/>
              <w:rPr>
                <w:rFonts w:ascii="宋体" w:cs="宋体"/>
                <w:color w:val="auto"/>
                <w:kern w:val="0"/>
                <w:highlight w:val="none"/>
                <w:u w:val="single"/>
              </w:rPr>
            </w:pPr>
            <w:r>
              <w:rPr>
                <w:rFonts w:hint="eastAsia" w:ascii="宋体" w:hAnsi="宋体" w:cs="宋体"/>
                <w:color w:val="auto"/>
                <w:kern w:val="0"/>
                <w:highlight w:val="none"/>
              </w:rPr>
              <w:t>业绩</w:t>
            </w:r>
            <w:r>
              <w:rPr>
                <w:rFonts w:hint="eastAsia" w:ascii="宋体" w:hAnsi="宋体" w:cs="宋体"/>
                <w:color w:val="auto"/>
                <w:spacing w:val="-2"/>
                <w:kern w:val="0"/>
                <w:highlight w:val="none"/>
              </w:rPr>
              <w:t>部</w:t>
            </w:r>
            <w:r>
              <w:rPr>
                <w:rFonts w:hint="eastAsia" w:ascii="宋体" w:hAnsi="宋体" w:cs="宋体"/>
                <w:color w:val="auto"/>
                <w:kern w:val="0"/>
                <w:highlight w:val="none"/>
              </w:rPr>
              <w:t>分</w:t>
            </w:r>
            <w:r>
              <w:rPr>
                <w:rFonts w:hint="eastAsia" w:ascii="宋体" w:hAnsi="宋体" w:cs="宋体"/>
                <w:color w:val="auto"/>
                <w:spacing w:val="-2"/>
                <w:kern w:val="0"/>
                <w:highlight w:val="none"/>
              </w:rPr>
              <w:t>：</w:t>
            </w:r>
            <w:r>
              <w:rPr>
                <w:rFonts w:hint="eastAsia" w:ascii="宋体" w:hAnsi="宋体" w:cs="宋体"/>
                <w:color w:val="auto"/>
                <w:kern w:val="0"/>
                <w:highlight w:val="none"/>
                <w:u w:val="single"/>
                <w:lang w:val="en-US" w:eastAsia="zh-CN"/>
              </w:rPr>
              <w:t>2</w:t>
            </w:r>
            <w:r>
              <w:rPr>
                <w:rFonts w:hint="eastAsia" w:ascii="宋体" w:hAnsi="宋体" w:cs="宋体"/>
                <w:color w:val="auto"/>
                <w:kern w:val="0"/>
                <w:highlight w:val="none"/>
                <w:u w:val="single"/>
              </w:rPr>
              <w:t>0分</w:t>
            </w:r>
          </w:p>
          <w:p w14:paraId="46EC56B4">
            <w:pPr>
              <w:autoSpaceDE w:val="0"/>
              <w:autoSpaceDN w:val="0"/>
              <w:adjustRightInd w:val="0"/>
              <w:snapToGrid w:val="0"/>
              <w:spacing w:line="340" w:lineRule="exact"/>
              <w:rPr>
                <w:rFonts w:ascii="宋体" w:cs="宋体"/>
                <w:color w:val="auto"/>
                <w:kern w:val="0"/>
                <w:highlight w:val="none"/>
              </w:rPr>
            </w:pPr>
            <w:r>
              <w:rPr>
                <w:rFonts w:hint="eastAsia" w:ascii="宋体" w:hAnsi="宋体" w:cs="宋体"/>
                <w:color w:val="auto"/>
                <w:kern w:val="0"/>
                <w:highlight w:val="none"/>
                <w:lang w:val="en-US" w:eastAsia="zh-CN"/>
              </w:rPr>
              <w:t>劳务作业</w:t>
            </w:r>
            <w:r>
              <w:rPr>
                <w:rFonts w:hint="eastAsia" w:ascii="宋体" w:hAnsi="宋体" w:cs="宋体"/>
                <w:color w:val="auto"/>
                <w:kern w:val="0"/>
                <w:highlight w:val="none"/>
              </w:rPr>
              <w:t>方案</w:t>
            </w:r>
            <w:r>
              <w:rPr>
                <w:rFonts w:hint="eastAsia" w:ascii="宋体" w:hAnsi="宋体" w:cs="宋体"/>
                <w:color w:val="auto"/>
                <w:spacing w:val="-2"/>
                <w:kern w:val="0"/>
                <w:highlight w:val="none"/>
              </w:rPr>
              <w:t>：</w:t>
            </w:r>
            <w:r>
              <w:rPr>
                <w:rFonts w:hint="eastAsia" w:ascii="宋体" w:hAnsi="宋体" w:cs="宋体"/>
                <w:color w:val="auto"/>
                <w:kern w:val="0"/>
                <w:highlight w:val="none"/>
                <w:u w:val="single"/>
                <w:lang w:val="en-US" w:eastAsia="zh-CN"/>
              </w:rPr>
              <w:t>3</w:t>
            </w:r>
            <w:r>
              <w:rPr>
                <w:rFonts w:hint="eastAsia" w:ascii="宋体" w:hAnsi="宋体" w:cs="宋体"/>
                <w:color w:val="auto"/>
                <w:kern w:val="0"/>
                <w:highlight w:val="none"/>
                <w:u w:val="single"/>
              </w:rPr>
              <w:t>0</w:t>
            </w:r>
            <w:r>
              <w:rPr>
                <w:rFonts w:hint="eastAsia" w:ascii="宋体" w:hAnsi="宋体" w:cs="宋体"/>
                <w:color w:val="auto"/>
                <w:kern w:val="0"/>
                <w:highlight w:val="none"/>
              </w:rPr>
              <w:t>分</w:t>
            </w:r>
            <w:r>
              <w:rPr>
                <w:rFonts w:ascii="宋体" w:hAnsi="宋体" w:cs="宋体"/>
                <w:color w:val="auto"/>
                <w:kern w:val="0"/>
                <w:highlight w:val="none"/>
              </w:rPr>
              <w:t xml:space="preserve"> </w:t>
            </w:r>
          </w:p>
          <w:p w14:paraId="6D81869B">
            <w:pPr>
              <w:autoSpaceDE w:val="0"/>
              <w:autoSpaceDN w:val="0"/>
              <w:adjustRightInd w:val="0"/>
              <w:snapToGrid w:val="0"/>
              <w:spacing w:line="340" w:lineRule="exact"/>
              <w:rPr>
                <w:rFonts w:ascii="宋体" w:cs="宋体"/>
                <w:color w:val="auto"/>
                <w:kern w:val="0"/>
                <w:highlight w:val="none"/>
              </w:rPr>
            </w:pPr>
            <w:r>
              <w:rPr>
                <w:rFonts w:hint="eastAsia" w:ascii="宋体" w:hAnsi="宋体" w:cs="宋体"/>
                <w:color w:val="auto"/>
                <w:kern w:val="0"/>
                <w:highlight w:val="none"/>
              </w:rPr>
              <w:t>投标</w:t>
            </w:r>
            <w:r>
              <w:rPr>
                <w:rFonts w:hint="eastAsia" w:ascii="宋体" w:hAnsi="宋体" w:cs="宋体"/>
                <w:color w:val="auto"/>
                <w:spacing w:val="-2"/>
                <w:kern w:val="0"/>
                <w:highlight w:val="none"/>
              </w:rPr>
              <w:t>报</w:t>
            </w:r>
            <w:r>
              <w:rPr>
                <w:rFonts w:hint="eastAsia" w:ascii="宋体" w:hAnsi="宋体" w:cs="宋体"/>
                <w:color w:val="auto"/>
                <w:kern w:val="0"/>
                <w:highlight w:val="none"/>
              </w:rPr>
              <w:t>价</w:t>
            </w:r>
            <w:r>
              <w:rPr>
                <w:rFonts w:hint="eastAsia" w:ascii="宋体" w:hAnsi="宋体" w:cs="宋体"/>
                <w:color w:val="auto"/>
                <w:spacing w:val="-2"/>
                <w:kern w:val="0"/>
                <w:highlight w:val="none"/>
              </w:rPr>
              <w:t>：</w:t>
            </w:r>
            <w:r>
              <w:rPr>
                <w:rFonts w:hint="eastAsia" w:ascii="宋体" w:hAnsi="宋体" w:cs="宋体"/>
                <w:color w:val="auto"/>
                <w:spacing w:val="-2"/>
                <w:kern w:val="0"/>
                <w:highlight w:val="none"/>
                <w:lang w:val="en-US" w:eastAsia="zh-CN"/>
              </w:rPr>
              <w:t>5</w:t>
            </w:r>
            <w:r>
              <w:rPr>
                <w:rFonts w:hint="eastAsia" w:ascii="宋体" w:hAnsi="宋体" w:cs="宋体"/>
                <w:color w:val="auto"/>
                <w:kern w:val="0"/>
                <w:highlight w:val="none"/>
                <w:u w:val="single"/>
              </w:rPr>
              <w:t>0</w:t>
            </w:r>
            <w:r>
              <w:rPr>
                <w:rFonts w:hint="eastAsia" w:ascii="宋体" w:hAnsi="宋体" w:cs="宋体"/>
                <w:color w:val="auto"/>
                <w:kern w:val="0"/>
                <w:highlight w:val="none"/>
              </w:rPr>
              <w:t>分</w:t>
            </w:r>
          </w:p>
        </w:tc>
      </w:tr>
      <w:tr w14:paraId="1A9E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3BFAB41B">
            <w:pPr>
              <w:snapToGrid w:val="0"/>
              <w:spacing w:line="340" w:lineRule="exact"/>
              <w:ind w:right="113"/>
              <w:jc w:val="center"/>
              <w:rPr>
                <w:rFonts w:ascii="宋体" w:hAnsi="宋体" w:cs="宋体"/>
                <w:color w:val="auto"/>
                <w:kern w:val="28"/>
                <w:highlight w:val="none"/>
              </w:rPr>
            </w:pPr>
            <w:r>
              <w:rPr>
                <w:rFonts w:hint="eastAsia" w:ascii="宋体" w:hAnsi="宋体"/>
                <w:color w:val="auto"/>
                <w:kern w:val="28"/>
                <w:highlight w:val="none"/>
              </w:rPr>
              <w:t>2.2.2</w:t>
            </w:r>
          </w:p>
        </w:tc>
        <w:tc>
          <w:tcPr>
            <w:tcW w:w="1231" w:type="dxa"/>
            <w:tcBorders>
              <w:top w:val="single" w:color="auto" w:sz="4" w:space="0"/>
              <w:left w:val="single" w:color="auto" w:sz="4" w:space="0"/>
              <w:bottom w:val="single" w:color="auto" w:sz="4" w:space="0"/>
              <w:right w:val="single" w:color="auto" w:sz="4" w:space="0"/>
            </w:tcBorders>
            <w:vAlign w:val="center"/>
          </w:tcPr>
          <w:p w14:paraId="7977D2BD">
            <w:pPr>
              <w:snapToGrid w:val="0"/>
              <w:spacing w:line="340" w:lineRule="exact"/>
              <w:ind w:right="113"/>
              <w:rPr>
                <w:rFonts w:ascii="宋体" w:hAnsi="宋体" w:cs="宋体"/>
                <w:color w:val="auto"/>
                <w:kern w:val="28"/>
                <w:highlight w:val="none"/>
              </w:rPr>
            </w:pPr>
            <w:r>
              <w:rPr>
                <w:rFonts w:hint="eastAsia" w:ascii="宋体" w:hAnsi="宋体"/>
                <w:color w:val="auto"/>
                <w:kern w:val="28"/>
                <w:highlight w:val="none"/>
              </w:rPr>
              <w:t>评标基准价计算方法</w:t>
            </w:r>
          </w:p>
        </w:tc>
        <w:tc>
          <w:tcPr>
            <w:tcW w:w="7452" w:type="dxa"/>
            <w:tcBorders>
              <w:top w:val="single" w:color="auto" w:sz="4" w:space="0"/>
              <w:left w:val="single" w:color="auto" w:sz="4" w:space="0"/>
              <w:bottom w:val="single" w:color="auto" w:sz="4" w:space="0"/>
              <w:right w:val="single" w:color="auto" w:sz="4" w:space="0"/>
            </w:tcBorders>
            <w:vAlign w:val="center"/>
          </w:tcPr>
          <w:p w14:paraId="64B361AB">
            <w:pPr>
              <w:keepNext w:val="0"/>
              <w:keepLines w:val="0"/>
              <w:widowControl/>
              <w:suppressLineNumbers w:val="0"/>
              <w:adjustRightInd w:val="0"/>
              <w:snapToGrid w:val="0"/>
              <w:spacing w:before="0" w:beforeAutospacing="0" w:after="0" w:afterAutospacing="0" w:line="320" w:lineRule="exact"/>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评标基准价的计算：</w:t>
            </w:r>
          </w:p>
          <w:p w14:paraId="7BBFE7A0">
            <w:pPr>
              <w:keepNext w:val="0"/>
              <w:keepLines w:val="0"/>
              <w:widowControl/>
              <w:suppressLineNumbers w:val="0"/>
              <w:adjustRightInd w:val="0"/>
              <w:snapToGrid w:val="0"/>
              <w:spacing w:before="0" w:beforeAutospacing="0" w:after="0" w:afterAutospacing="0" w:line="320" w:lineRule="exact"/>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(1)评标价的确定：</w:t>
            </w:r>
          </w:p>
          <w:p w14:paraId="0213F132">
            <w:pPr>
              <w:keepNext w:val="0"/>
              <w:keepLines w:val="0"/>
              <w:widowControl/>
              <w:suppressLineNumbers w:val="0"/>
              <w:adjustRightInd w:val="0"/>
              <w:snapToGrid w:val="0"/>
              <w:spacing w:before="0" w:beforeAutospacing="0" w:after="0" w:afterAutospacing="0" w:line="320" w:lineRule="exact"/>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评标价=投标函文字报价</w:t>
            </w:r>
          </w:p>
          <w:p w14:paraId="54456C9F">
            <w:pPr>
              <w:keepNext w:val="0"/>
              <w:keepLines w:val="0"/>
              <w:widowControl/>
              <w:suppressLineNumbers w:val="0"/>
              <w:adjustRightInd w:val="0"/>
              <w:snapToGrid w:val="0"/>
              <w:spacing w:before="0" w:beforeAutospacing="0" w:after="0" w:afterAutospacing="0" w:line="320" w:lineRule="exact"/>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(2)评标价平均值的计算：</w:t>
            </w:r>
          </w:p>
          <w:p w14:paraId="0D0181B4">
            <w:pPr>
              <w:keepNext w:val="0"/>
              <w:keepLines w:val="0"/>
              <w:widowControl/>
              <w:suppressLineNumbers w:val="0"/>
              <w:adjustRightInd w:val="0"/>
              <w:snapToGrid w:val="0"/>
              <w:spacing w:before="0" w:beforeAutospacing="0" w:after="0" w:afterAutospacing="0" w:line="320" w:lineRule="exact"/>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所有通过初步评审的投标人评标价去掉一个最高值和一个最低值后的算术平均值即为评标价平均值（如果参与评标价平均值计算的有效投标人少于5家时，则计算评标价平均值时不去掉最高值和最低值）。</w:t>
            </w:r>
          </w:p>
          <w:p w14:paraId="6D194141">
            <w:pPr>
              <w:keepNext w:val="0"/>
              <w:keepLines w:val="0"/>
              <w:widowControl/>
              <w:suppressLineNumbers w:val="0"/>
              <w:adjustRightInd w:val="0"/>
              <w:snapToGrid w:val="0"/>
              <w:spacing w:before="0" w:beforeAutospacing="0" w:after="0" w:afterAutospacing="0" w:line="320" w:lineRule="exact"/>
              <w:ind w:left="0"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(3)评标基准价的确定：</w:t>
            </w:r>
          </w:p>
          <w:p w14:paraId="03CE1328">
            <w:pPr>
              <w:keepNext w:val="0"/>
              <w:keepLines w:val="0"/>
              <w:widowControl/>
              <w:suppressLineNumbers w:val="0"/>
              <w:adjustRightInd w:val="0"/>
              <w:snapToGrid w:val="0"/>
              <w:spacing w:before="0" w:beforeAutospacing="0" w:after="0" w:afterAutospacing="0" w:line="320" w:lineRule="exact"/>
              <w:ind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评标价平均值</w:t>
            </w:r>
            <w:r>
              <w:rPr>
                <w:rFonts w:hint="eastAsia" w:ascii="宋体" w:hAnsi="宋体" w:cs="宋体"/>
                <w:color w:val="auto"/>
                <w:kern w:val="0"/>
                <w:sz w:val="21"/>
                <w:szCs w:val="21"/>
                <w:highlight w:val="none"/>
                <w:lang w:val="en-US" w:eastAsia="zh-CN"/>
              </w:rPr>
              <w:t>直接</w:t>
            </w:r>
            <w:r>
              <w:rPr>
                <w:rFonts w:hint="eastAsia" w:ascii="宋体" w:hAnsi="宋体" w:cs="宋体"/>
                <w:color w:val="auto"/>
                <w:kern w:val="0"/>
                <w:sz w:val="21"/>
                <w:szCs w:val="21"/>
                <w:highlight w:val="none"/>
              </w:rPr>
              <w:t>作为评标基准价（评标基准价保留小数点后两位，小数点后第三位四舍五入）。</w:t>
            </w:r>
          </w:p>
          <w:p w14:paraId="5A1FAC34">
            <w:pPr>
              <w:spacing w:line="320" w:lineRule="exact"/>
              <w:rPr>
                <w:rFonts w:ascii="宋体" w:hAnsi="宋体" w:cs="宋体"/>
                <w:color w:val="auto"/>
                <w:kern w:val="28"/>
                <w:highlight w:val="none"/>
              </w:rPr>
            </w:pPr>
            <w:r>
              <w:rPr>
                <w:rFonts w:hint="eastAsia" w:ascii="宋体" w:hAnsi="宋体" w:cs="宋体"/>
                <w:color w:val="auto"/>
                <w:kern w:val="0"/>
                <w:sz w:val="21"/>
                <w:szCs w:val="21"/>
                <w:highlight w:val="none"/>
              </w:rPr>
              <w:t>当所有投标价都高于最髙投标限价时，招标人将重新招标。</w:t>
            </w:r>
          </w:p>
        </w:tc>
      </w:tr>
      <w:tr w14:paraId="2DFF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2E348783">
            <w:pPr>
              <w:snapToGrid w:val="0"/>
              <w:spacing w:line="340" w:lineRule="exact"/>
              <w:ind w:right="113"/>
              <w:jc w:val="center"/>
              <w:rPr>
                <w:rFonts w:ascii="宋体" w:hAnsi="宋体" w:cs="宋体"/>
                <w:color w:val="auto"/>
                <w:kern w:val="28"/>
                <w:highlight w:val="none"/>
              </w:rPr>
            </w:pPr>
            <w:r>
              <w:rPr>
                <w:rFonts w:hint="eastAsia" w:ascii="宋体" w:hAnsi="宋体"/>
                <w:color w:val="auto"/>
                <w:kern w:val="28"/>
                <w:highlight w:val="none"/>
              </w:rPr>
              <w:t>2.2.3</w:t>
            </w:r>
          </w:p>
        </w:tc>
        <w:tc>
          <w:tcPr>
            <w:tcW w:w="1231" w:type="dxa"/>
            <w:tcBorders>
              <w:top w:val="single" w:color="auto" w:sz="4" w:space="0"/>
              <w:left w:val="single" w:color="auto" w:sz="4" w:space="0"/>
              <w:bottom w:val="single" w:color="auto" w:sz="4" w:space="0"/>
              <w:right w:val="single" w:color="auto" w:sz="4" w:space="0"/>
            </w:tcBorders>
            <w:vAlign w:val="center"/>
          </w:tcPr>
          <w:p w14:paraId="2BF8BFB7">
            <w:pPr>
              <w:snapToGrid w:val="0"/>
              <w:spacing w:line="340" w:lineRule="exact"/>
              <w:ind w:left="113" w:right="113"/>
              <w:rPr>
                <w:rFonts w:ascii="宋体" w:hAnsi="宋体" w:cs="宋体"/>
                <w:color w:val="auto"/>
                <w:kern w:val="28"/>
                <w:highlight w:val="none"/>
              </w:rPr>
            </w:pPr>
            <w:r>
              <w:rPr>
                <w:rFonts w:hint="eastAsia" w:ascii="宋体" w:hAnsi="宋体"/>
                <w:color w:val="auto"/>
                <w:kern w:val="28"/>
                <w:highlight w:val="none"/>
              </w:rPr>
              <w:t>评标价的偏差率计算公式</w:t>
            </w:r>
          </w:p>
        </w:tc>
        <w:tc>
          <w:tcPr>
            <w:tcW w:w="7452" w:type="dxa"/>
            <w:tcBorders>
              <w:top w:val="single" w:color="auto" w:sz="4" w:space="0"/>
              <w:left w:val="single" w:color="auto" w:sz="4" w:space="0"/>
              <w:bottom w:val="single" w:color="auto" w:sz="4" w:space="0"/>
              <w:right w:val="single" w:color="auto" w:sz="4" w:space="0"/>
            </w:tcBorders>
            <w:vAlign w:val="center"/>
          </w:tcPr>
          <w:p w14:paraId="7929490A">
            <w:pPr>
              <w:snapToGrid w:val="0"/>
              <w:spacing w:line="340" w:lineRule="exact"/>
              <w:ind w:right="113"/>
              <w:rPr>
                <w:rFonts w:hint="eastAsia" w:eastAsia="宋体"/>
                <w:color w:val="auto"/>
                <w:highlight w:val="none"/>
                <w:lang w:eastAsia="zh-CN"/>
              </w:rPr>
            </w:pPr>
            <w:r>
              <w:rPr>
                <w:rFonts w:hint="eastAsia" w:ascii="宋体" w:hAnsi="宋体" w:cs="宋体"/>
                <w:color w:val="auto"/>
                <w:highlight w:val="none"/>
                <w:lang w:val="en-US" w:eastAsia="zh-CN"/>
              </w:rPr>
              <w:t>不适用</w:t>
            </w:r>
          </w:p>
        </w:tc>
      </w:tr>
      <w:tr w14:paraId="7185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3DCA6F9E">
            <w:pPr>
              <w:snapToGrid w:val="0"/>
              <w:spacing w:line="340" w:lineRule="exact"/>
              <w:jc w:val="center"/>
              <w:rPr>
                <w:rFonts w:ascii="宋体" w:hAnsi="宋体" w:cs="宋体"/>
                <w:color w:val="auto"/>
                <w:kern w:val="28"/>
                <w:highlight w:val="none"/>
              </w:rPr>
            </w:pPr>
            <w:r>
              <w:rPr>
                <w:rFonts w:hint="eastAsia" w:ascii="宋体" w:hAnsi="宋体"/>
                <w:color w:val="auto"/>
                <w:highlight w:val="none"/>
              </w:rPr>
              <w:t>3.5.1</w:t>
            </w:r>
          </w:p>
        </w:tc>
        <w:tc>
          <w:tcPr>
            <w:tcW w:w="1231" w:type="dxa"/>
            <w:tcBorders>
              <w:top w:val="single" w:color="auto" w:sz="4" w:space="0"/>
              <w:left w:val="single" w:color="auto" w:sz="4" w:space="0"/>
              <w:bottom w:val="single" w:color="auto" w:sz="4" w:space="0"/>
              <w:right w:val="single" w:color="auto" w:sz="4" w:space="0"/>
            </w:tcBorders>
            <w:vAlign w:val="center"/>
          </w:tcPr>
          <w:p w14:paraId="087FF82C">
            <w:pPr>
              <w:adjustRightInd w:val="0"/>
              <w:snapToGrid w:val="0"/>
              <w:spacing w:line="340" w:lineRule="exact"/>
              <w:rPr>
                <w:rFonts w:ascii="宋体" w:hAnsi="宋体" w:cs="宋体"/>
                <w:color w:val="auto"/>
                <w:kern w:val="28"/>
                <w:highlight w:val="none"/>
              </w:rPr>
            </w:pPr>
            <w:r>
              <w:rPr>
                <w:rFonts w:hint="eastAsia" w:ascii="宋体" w:hAnsi="宋体"/>
                <w:color w:val="auto"/>
                <w:highlight w:val="none"/>
              </w:rPr>
              <w:t>投标文件相关信息的核查</w:t>
            </w:r>
          </w:p>
        </w:tc>
        <w:tc>
          <w:tcPr>
            <w:tcW w:w="7452" w:type="dxa"/>
            <w:tcBorders>
              <w:top w:val="single" w:color="auto" w:sz="4" w:space="0"/>
              <w:left w:val="single" w:color="auto" w:sz="4" w:space="0"/>
              <w:bottom w:val="single" w:color="auto" w:sz="4" w:space="0"/>
              <w:right w:val="single" w:color="auto" w:sz="4" w:space="0"/>
            </w:tcBorders>
            <w:vAlign w:val="center"/>
          </w:tcPr>
          <w:p w14:paraId="24797F60">
            <w:pPr>
              <w:adjustRightInd w:val="0"/>
              <w:snapToGrid w:val="0"/>
              <w:spacing w:line="340" w:lineRule="exact"/>
              <w:rPr>
                <w:rFonts w:ascii="等线" w:hAnsi="等线" w:eastAsia="等线" w:cs="宋体"/>
                <w:color w:val="auto"/>
                <w:highlight w:val="none"/>
              </w:rPr>
            </w:pPr>
            <w:r>
              <w:rPr>
                <w:rFonts w:hint="eastAsia" w:ascii="宋体" w:hAnsi="宋体"/>
                <w:color w:val="auto"/>
                <w:highlight w:val="none"/>
              </w:rPr>
              <w:t>本款修改为：</w:t>
            </w:r>
          </w:p>
          <w:p w14:paraId="33661044">
            <w:pPr>
              <w:adjustRightInd w:val="0"/>
              <w:snapToGrid w:val="0"/>
              <w:spacing w:line="340" w:lineRule="exact"/>
              <w:ind w:firstLine="420" w:firstLineChars="200"/>
              <w:rPr>
                <w:rFonts w:ascii="宋体" w:hAnsi="宋体"/>
                <w:color w:val="auto"/>
                <w:highlight w:val="none"/>
              </w:rPr>
            </w:pPr>
            <w:r>
              <w:rPr>
                <w:rFonts w:hint="eastAsia" w:ascii="宋体" w:hAnsi="宋体"/>
                <w:color w:val="auto"/>
                <w:highlight w:val="none"/>
              </w:rPr>
              <w:t>在评标过程中，评标委员会应在“国家企业信用信息公示系统”及“信用中国”网站（http://www.creditchina.gov.cn/)对投标人的信用情况进行查询，若投标人未附相关资料或存在“国家企业信用信息公示系统”被列入严重违法失信名单（黑名单）信息（不含分公司）或在“信用中国”网站（http://www.creditchina.gov.cn/)中被列入失信被执行人、</w:t>
            </w:r>
            <w:r>
              <w:rPr>
                <w:rFonts w:hint="eastAsia" w:ascii="宋体" w:hAnsi="宋体"/>
                <w:color w:val="auto"/>
                <w:highlight w:val="none"/>
                <w:lang w:eastAsia="zh-CN"/>
              </w:rPr>
              <w:t>经营（活动）异常名录、安全生产严重失信主体、重大税收违法失信主体、</w:t>
            </w:r>
            <w:r>
              <w:rPr>
                <w:rFonts w:hint="eastAsia" w:ascii="宋体" w:hAnsi="宋体"/>
                <w:color w:val="auto"/>
                <w:highlight w:val="none"/>
              </w:rPr>
              <w:t>政府采购严重违法失信行为记录名单（均不含分公司）情形的，评标委员会应否决其投标。</w:t>
            </w:r>
          </w:p>
          <w:p w14:paraId="4D25FCEB">
            <w:pPr>
              <w:adjustRightInd w:val="0"/>
              <w:snapToGrid w:val="0"/>
              <w:spacing w:line="340" w:lineRule="exact"/>
              <w:ind w:firstLine="420" w:firstLineChars="200"/>
              <w:rPr>
                <w:rFonts w:ascii="宋体" w:hAnsi="宋体" w:cs="宋体"/>
                <w:color w:val="auto"/>
                <w:kern w:val="28"/>
                <w:highlight w:val="none"/>
              </w:rPr>
            </w:pPr>
            <w:r>
              <w:rPr>
                <w:rFonts w:hint="eastAsia" w:ascii="宋体" w:hAnsi="宋体"/>
                <w:color w:val="auto"/>
                <w:highlight w:val="none"/>
              </w:rPr>
              <w:t>若投标文件载明的信息与上述网站发布的信息不符，使得投标人的资格条件不符合招标文件规定的，评标委员会应否决其投标。</w:t>
            </w:r>
          </w:p>
        </w:tc>
      </w:tr>
      <w:tr w14:paraId="1BA6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718" w:type="dxa"/>
            <w:gridSpan w:val="3"/>
            <w:tcBorders>
              <w:top w:val="single" w:color="auto" w:sz="4" w:space="0"/>
              <w:left w:val="single" w:color="auto" w:sz="4" w:space="0"/>
              <w:bottom w:val="single" w:color="auto" w:sz="4" w:space="0"/>
              <w:right w:val="single" w:color="auto" w:sz="4" w:space="0"/>
            </w:tcBorders>
            <w:vAlign w:val="center"/>
          </w:tcPr>
          <w:p w14:paraId="00D5FE5D">
            <w:pPr>
              <w:adjustRightInd w:val="0"/>
              <w:snapToGrid w:val="0"/>
              <w:spacing w:line="340" w:lineRule="exact"/>
              <w:ind w:firstLine="420" w:firstLineChars="200"/>
              <w:rPr>
                <w:rFonts w:ascii="宋体" w:hAnsi="宋体" w:cs="宋体"/>
                <w:color w:val="auto"/>
                <w:highlight w:val="none"/>
              </w:rPr>
            </w:pPr>
            <w:r>
              <w:rPr>
                <w:rFonts w:hint="eastAsia" w:ascii="宋体" w:hAnsi="宋体"/>
                <w:color w:val="auto"/>
                <w:highlight w:val="none"/>
              </w:rPr>
              <w:t>需要补充的其他内容：无</w:t>
            </w:r>
          </w:p>
        </w:tc>
      </w:tr>
    </w:tbl>
    <w:p w14:paraId="1B0A86B4">
      <w:pPr>
        <w:rPr>
          <w:color w:val="auto"/>
          <w:highlight w:val="none"/>
        </w:rPr>
      </w:pPr>
    </w:p>
    <w:p w14:paraId="1436DD72">
      <w:pPr>
        <w:rPr>
          <w:color w:val="auto"/>
          <w:highlight w:val="none"/>
        </w:rPr>
      </w:pPr>
    </w:p>
    <w:p w14:paraId="66E2270C">
      <w:pPr>
        <w:rPr>
          <w:color w:val="auto"/>
          <w:highlight w:val="none"/>
        </w:rPr>
      </w:pPr>
    </w:p>
    <w:p w14:paraId="669F15E8">
      <w:pPr>
        <w:rPr>
          <w:color w:val="auto"/>
          <w:highlight w:val="none"/>
        </w:rPr>
      </w:pPr>
    </w:p>
    <w:p w14:paraId="3300A93E">
      <w:pPr>
        <w:rPr>
          <w:color w:val="auto"/>
          <w:highlight w:val="none"/>
        </w:rPr>
      </w:pPr>
    </w:p>
    <w:p w14:paraId="5BF86726">
      <w:pPr>
        <w:rPr>
          <w:color w:val="auto"/>
          <w:highlight w:val="none"/>
        </w:rPr>
      </w:pPr>
    </w:p>
    <w:p w14:paraId="6A45D765">
      <w:pPr>
        <w:rPr>
          <w:color w:val="auto"/>
          <w:highlight w:val="none"/>
        </w:rPr>
      </w:pPr>
      <w:r>
        <w:rPr>
          <w:color w:val="auto"/>
          <w:highlight w:val="none"/>
        </w:rPr>
        <w:br w:type="page"/>
      </w:r>
    </w:p>
    <w:p w14:paraId="5AD6DEB4">
      <w:pPr>
        <w:rPr>
          <w:b/>
          <w:bCs/>
          <w:color w:val="auto"/>
          <w:highlight w:val="none"/>
        </w:rPr>
      </w:pPr>
      <w:r>
        <w:rPr>
          <w:rFonts w:hint="eastAsia"/>
          <w:b/>
          <w:bCs/>
          <w:color w:val="auto"/>
          <w:highlight w:val="none"/>
        </w:rPr>
        <w:t>具体评分标准如下：</w:t>
      </w:r>
    </w:p>
    <w:tbl>
      <w:tblPr>
        <w:tblStyle w:val="9"/>
        <w:tblW w:w="9209" w:type="dxa"/>
        <w:jc w:val="center"/>
        <w:tblLayout w:type="fixed"/>
        <w:tblCellMar>
          <w:top w:w="0" w:type="dxa"/>
          <w:left w:w="0" w:type="dxa"/>
          <w:bottom w:w="0" w:type="dxa"/>
          <w:right w:w="0" w:type="dxa"/>
        </w:tblCellMar>
      </w:tblPr>
      <w:tblGrid>
        <w:gridCol w:w="815"/>
        <w:gridCol w:w="1438"/>
        <w:gridCol w:w="1870"/>
        <w:gridCol w:w="5086"/>
      </w:tblGrid>
      <w:tr w14:paraId="26458EDE">
        <w:tblPrEx>
          <w:tblCellMar>
            <w:top w:w="0" w:type="dxa"/>
            <w:left w:w="0" w:type="dxa"/>
            <w:bottom w:w="0" w:type="dxa"/>
            <w:right w:w="0" w:type="dxa"/>
          </w:tblCellMar>
        </w:tblPrEx>
        <w:trPr>
          <w:jc w:val="center"/>
        </w:trPr>
        <w:tc>
          <w:tcPr>
            <w:tcW w:w="2253" w:type="dxa"/>
            <w:gridSpan w:val="2"/>
            <w:tcBorders>
              <w:top w:val="single" w:color="auto" w:sz="4" w:space="0"/>
              <w:left w:val="single" w:color="000000" w:sz="4" w:space="0"/>
              <w:bottom w:val="single" w:color="auto" w:sz="4" w:space="0"/>
              <w:right w:val="single" w:color="000000" w:sz="4" w:space="0"/>
            </w:tcBorders>
            <w:vAlign w:val="center"/>
          </w:tcPr>
          <w:p w14:paraId="7BAF858D">
            <w:pPr>
              <w:autoSpaceDE w:val="0"/>
              <w:autoSpaceDN w:val="0"/>
              <w:adjustRightInd w:val="0"/>
              <w:snapToGrid w:val="0"/>
              <w:spacing w:after="100" w:afterAutospacing="1" w:line="340" w:lineRule="exact"/>
              <w:ind w:right="634" w:firstLine="316" w:firstLineChars="150"/>
              <w:jc w:val="center"/>
              <w:rPr>
                <w:rFonts w:ascii="宋体" w:cs="宋体"/>
                <w:b/>
                <w:color w:val="auto"/>
                <w:kern w:val="0"/>
                <w:highlight w:val="none"/>
              </w:rPr>
            </w:pPr>
            <w:r>
              <w:rPr>
                <w:rFonts w:hint="eastAsia" w:ascii="宋体" w:hAnsi="宋体" w:cs="宋体"/>
                <w:b/>
                <w:color w:val="auto"/>
                <w:kern w:val="0"/>
                <w:highlight w:val="none"/>
              </w:rPr>
              <w:t>条款号</w:t>
            </w:r>
          </w:p>
        </w:tc>
        <w:tc>
          <w:tcPr>
            <w:tcW w:w="1870" w:type="dxa"/>
            <w:tcBorders>
              <w:top w:val="single" w:color="000000" w:sz="4" w:space="0"/>
              <w:left w:val="single" w:color="000000" w:sz="4" w:space="0"/>
              <w:bottom w:val="single" w:color="000000" w:sz="4" w:space="0"/>
              <w:right w:val="single" w:color="000000" w:sz="4" w:space="0"/>
            </w:tcBorders>
            <w:vAlign w:val="center"/>
          </w:tcPr>
          <w:p w14:paraId="7A01BAEA">
            <w:pPr>
              <w:autoSpaceDE w:val="0"/>
              <w:autoSpaceDN w:val="0"/>
              <w:adjustRightInd w:val="0"/>
              <w:snapToGrid w:val="0"/>
              <w:spacing w:after="100" w:afterAutospacing="1" w:line="340" w:lineRule="exact"/>
              <w:ind w:left="283" w:right="-20"/>
              <w:jc w:val="center"/>
              <w:rPr>
                <w:rFonts w:ascii="宋体" w:cs="宋体"/>
                <w:b/>
                <w:color w:val="auto"/>
                <w:kern w:val="0"/>
                <w:highlight w:val="none"/>
              </w:rPr>
            </w:pPr>
            <w:r>
              <w:rPr>
                <w:rFonts w:hint="eastAsia" w:ascii="宋体" w:hAnsi="宋体" w:cs="宋体"/>
                <w:b/>
                <w:color w:val="auto"/>
                <w:kern w:val="0"/>
                <w:highlight w:val="none"/>
              </w:rPr>
              <w:t>评分因素</w:t>
            </w:r>
          </w:p>
        </w:tc>
        <w:tc>
          <w:tcPr>
            <w:tcW w:w="5086" w:type="dxa"/>
            <w:tcBorders>
              <w:top w:val="single" w:color="000000" w:sz="4" w:space="0"/>
              <w:left w:val="single" w:color="000000" w:sz="4" w:space="0"/>
              <w:bottom w:val="single" w:color="000000" w:sz="4" w:space="0"/>
              <w:right w:val="single" w:color="000000" w:sz="4" w:space="0"/>
            </w:tcBorders>
            <w:vAlign w:val="center"/>
          </w:tcPr>
          <w:p w14:paraId="6D9E3F3A">
            <w:pPr>
              <w:autoSpaceDE w:val="0"/>
              <w:autoSpaceDN w:val="0"/>
              <w:adjustRightInd w:val="0"/>
              <w:snapToGrid w:val="0"/>
              <w:spacing w:after="100" w:afterAutospacing="1" w:line="340" w:lineRule="exact"/>
              <w:ind w:right="1857"/>
              <w:jc w:val="center"/>
              <w:rPr>
                <w:rFonts w:ascii="宋体" w:cs="宋体"/>
                <w:b/>
                <w:color w:val="auto"/>
                <w:kern w:val="0"/>
                <w:highlight w:val="none"/>
              </w:rPr>
            </w:pPr>
            <w:r>
              <w:rPr>
                <w:rFonts w:hint="eastAsia" w:ascii="宋体" w:hAnsi="宋体" w:cs="宋体"/>
                <w:b/>
                <w:color w:val="auto"/>
                <w:kern w:val="0"/>
                <w:highlight w:val="none"/>
              </w:rPr>
              <w:t>评分标准</w:t>
            </w:r>
          </w:p>
        </w:tc>
      </w:tr>
      <w:tr w14:paraId="2DB6C269">
        <w:tblPrEx>
          <w:tblCellMar>
            <w:top w:w="0" w:type="dxa"/>
            <w:left w:w="0" w:type="dxa"/>
            <w:bottom w:w="0" w:type="dxa"/>
            <w:right w:w="0" w:type="dxa"/>
          </w:tblCellMar>
        </w:tblPrEx>
        <w:trPr>
          <w:jc w:val="center"/>
        </w:trPr>
        <w:tc>
          <w:tcPr>
            <w:tcW w:w="815" w:type="dxa"/>
            <w:tcBorders>
              <w:top w:val="single" w:color="auto" w:sz="4" w:space="0"/>
              <w:left w:val="single" w:color="000000" w:sz="4" w:space="0"/>
              <w:right w:val="single" w:color="auto" w:sz="4" w:space="0"/>
            </w:tcBorders>
            <w:vAlign w:val="center"/>
          </w:tcPr>
          <w:p w14:paraId="4C0A9D66">
            <w:pPr>
              <w:autoSpaceDE w:val="0"/>
              <w:autoSpaceDN w:val="0"/>
              <w:adjustRightInd w:val="0"/>
              <w:snapToGrid w:val="0"/>
              <w:spacing w:line="340" w:lineRule="exact"/>
              <w:ind w:right="-23"/>
              <w:jc w:val="center"/>
              <w:rPr>
                <w:rFonts w:ascii="宋体" w:cs="宋体"/>
                <w:color w:val="auto"/>
                <w:kern w:val="0"/>
                <w:highlight w:val="none"/>
              </w:rPr>
            </w:pPr>
            <w:r>
              <w:rPr>
                <w:rFonts w:ascii="宋体" w:hAnsi="宋体" w:cs="宋体"/>
                <w:color w:val="auto"/>
                <w:kern w:val="0"/>
                <w:highlight w:val="none"/>
              </w:rPr>
              <w:t>2.2.4</w:t>
            </w:r>
          </w:p>
          <w:p w14:paraId="630C6579">
            <w:pPr>
              <w:autoSpaceDE w:val="0"/>
              <w:autoSpaceDN w:val="0"/>
              <w:adjustRightInd w:val="0"/>
              <w:snapToGrid w:val="0"/>
              <w:spacing w:line="340" w:lineRule="exact"/>
              <w:ind w:right="-23"/>
              <w:jc w:val="center"/>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1</w:t>
            </w:r>
            <w:r>
              <w:rPr>
                <w:rFonts w:hint="eastAsia" w:ascii="宋体" w:hAnsi="宋体" w:cs="宋体"/>
                <w:color w:val="auto"/>
                <w:kern w:val="0"/>
                <w:highlight w:val="none"/>
              </w:rPr>
              <w:t>）</w:t>
            </w:r>
          </w:p>
        </w:tc>
        <w:tc>
          <w:tcPr>
            <w:tcW w:w="1438" w:type="dxa"/>
            <w:tcBorders>
              <w:top w:val="single" w:color="auto" w:sz="4" w:space="0"/>
              <w:left w:val="single" w:color="auto" w:sz="4" w:space="0"/>
              <w:right w:val="single" w:color="000000" w:sz="4" w:space="0"/>
            </w:tcBorders>
            <w:vAlign w:val="center"/>
          </w:tcPr>
          <w:p w14:paraId="0F3CA7D1">
            <w:pPr>
              <w:autoSpaceDE w:val="0"/>
              <w:autoSpaceDN w:val="0"/>
              <w:adjustRightInd w:val="0"/>
              <w:snapToGrid w:val="0"/>
              <w:spacing w:line="340" w:lineRule="exact"/>
              <w:ind w:right="60"/>
              <w:jc w:val="center"/>
              <w:rPr>
                <w:rFonts w:ascii="宋体" w:cs="宋体"/>
                <w:color w:val="auto"/>
                <w:kern w:val="0"/>
                <w:highlight w:val="none"/>
              </w:rPr>
            </w:pPr>
            <w:r>
              <w:rPr>
                <w:rFonts w:hint="eastAsia" w:ascii="宋体" w:hAnsi="宋体" w:cs="宋体"/>
                <w:color w:val="auto"/>
                <w:highlight w:val="none"/>
              </w:rPr>
              <w:t>类似项目业绩（</w:t>
            </w:r>
            <w:r>
              <w:rPr>
                <w:rFonts w:hint="eastAsia" w:ascii="宋体" w:hAnsi="宋体" w:cs="宋体"/>
                <w:color w:val="auto"/>
                <w:highlight w:val="none"/>
                <w:lang w:val="en-US" w:eastAsia="zh-CN"/>
              </w:rPr>
              <w:t>2</w:t>
            </w:r>
            <w:r>
              <w:rPr>
                <w:rFonts w:hint="eastAsia" w:ascii="宋体" w:hAnsi="宋体" w:cs="宋体"/>
                <w:color w:val="auto"/>
                <w:highlight w:val="none"/>
              </w:rPr>
              <w:t>0分）</w:t>
            </w:r>
          </w:p>
        </w:tc>
        <w:tc>
          <w:tcPr>
            <w:tcW w:w="1870" w:type="dxa"/>
            <w:tcBorders>
              <w:top w:val="single" w:color="000000" w:sz="4" w:space="0"/>
              <w:left w:val="single" w:color="000000" w:sz="4" w:space="0"/>
              <w:bottom w:val="single" w:color="auto" w:sz="4" w:space="0"/>
              <w:right w:val="single" w:color="000000" w:sz="4" w:space="0"/>
            </w:tcBorders>
            <w:vAlign w:val="center"/>
          </w:tcPr>
          <w:p w14:paraId="3B6CF060">
            <w:pPr>
              <w:autoSpaceDE w:val="0"/>
              <w:autoSpaceDN w:val="0"/>
              <w:adjustRightInd w:val="0"/>
              <w:snapToGrid w:val="0"/>
              <w:spacing w:line="340" w:lineRule="exact"/>
              <w:jc w:val="center"/>
              <w:rPr>
                <w:rFonts w:ascii="宋体" w:cs="宋体"/>
                <w:color w:val="auto"/>
                <w:kern w:val="0"/>
                <w:highlight w:val="none"/>
              </w:rPr>
            </w:pPr>
            <w:r>
              <w:rPr>
                <w:rFonts w:hint="eastAsia" w:ascii="宋体" w:hAnsi="宋体" w:cs="宋体"/>
                <w:color w:val="auto"/>
                <w:highlight w:val="none"/>
              </w:rPr>
              <w:t>类似项目业绩（</w:t>
            </w:r>
            <w:r>
              <w:rPr>
                <w:rFonts w:hint="eastAsia" w:ascii="宋体" w:hAnsi="宋体" w:cs="宋体"/>
                <w:color w:val="auto"/>
                <w:highlight w:val="none"/>
                <w:lang w:val="en-US" w:eastAsia="zh-CN"/>
              </w:rPr>
              <w:t>2</w:t>
            </w:r>
            <w:r>
              <w:rPr>
                <w:rFonts w:hint="eastAsia" w:ascii="宋体" w:hAnsi="宋体" w:cs="宋体"/>
                <w:color w:val="auto"/>
                <w:highlight w:val="none"/>
              </w:rPr>
              <w:t>0分）</w:t>
            </w:r>
          </w:p>
        </w:tc>
        <w:tc>
          <w:tcPr>
            <w:tcW w:w="5086" w:type="dxa"/>
            <w:tcBorders>
              <w:top w:val="single" w:color="000000" w:sz="4" w:space="0"/>
              <w:left w:val="single" w:color="000000" w:sz="4" w:space="0"/>
              <w:bottom w:val="single" w:color="auto" w:sz="4" w:space="0"/>
              <w:right w:val="single" w:color="000000" w:sz="4" w:space="0"/>
            </w:tcBorders>
            <w:vAlign w:val="center"/>
          </w:tcPr>
          <w:p w14:paraId="6A781A18">
            <w:pPr>
              <w:autoSpaceDE w:val="0"/>
              <w:autoSpaceDN w:val="0"/>
              <w:adjustRightInd w:val="0"/>
              <w:snapToGrid w:val="0"/>
              <w:spacing w:line="340" w:lineRule="exact"/>
              <w:jc w:val="left"/>
              <w:rPr>
                <w:rFonts w:ascii="宋体" w:cs="宋体"/>
                <w:color w:val="auto"/>
                <w:highlight w:val="none"/>
              </w:rPr>
            </w:pPr>
            <w:r>
              <w:rPr>
                <w:rFonts w:hint="eastAsia" w:ascii="宋体" w:hAnsi="宋体" w:cs="宋体"/>
                <w:color w:val="auto"/>
                <w:highlight w:val="none"/>
              </w:rPr>
              <w:t>投标人满足投标人资格要求</w:t>
            </w:r>
            <w:r>
              <w:rPr>
                <w:rFonts w:hint="eastAsia" w:ascii="宋体" w:hAnsi="宋体" w:cs="宋体"/>
                <w:color w:val="auto"/>
                <w:highlight w:val="none"/>
                <w:lang w:val="en-US" w:eastAsia="zh-CN"/>
              </w:rPr>
              <w:t>中的</w:t>
            </w:r>
            <w:r>
              <w:rPr>
                <w:rFonts w:hint="eastAsia" w:ascii="宋体" w:hAnsi="宋体" w:cs="宋体"/>
                <w:color w:val="auto"/>
                <w:highlight w:val="none"/>
              </w:rPr>
              <w:t>业绩要求得12分，每增加1项满足投标人资格要求业绩要求的业绩加</w:t>
            </w:r>
            <w:r>
              <w:rPr>
                <w:rFonts w:hint="eastAsia" w:ascii="宋体" w:hAnsi="宋体" w:cs="宋体"/>
                <w:color w:val="auto"/>
                <w:highlight w:val="none"/>
                <w:lang w:val="en-US" w:eastAsia="zh-CN"/>
              </w:rPr>
              <w:t>4</w:t>
            </w:r>
            <w:r>
              <w:rPr>
                <w:rFonts w:hint="eastAsia" w:ascii="宋体" w:hAnsi="宋体" w:cs="宋体"/>
                <w:color w:val="auto"/>
                <w:highlight w:val="none"/>
              </w:rPr>
              <w:t>分，最多加8分。</w:t>
            </w:r>
          </w:p>
        </w:tc>
      </w:tr>
      <w:tr w14:paraId="7A99AABD">
        <w:tblPrEx>
          <w:tblCellMar>
            <w:top w:w="0" w:type="dxa"/>
            <w:left w:w="0" w:type="dxa"/>
            <w:bottom w:w="0" w:type="dxa"/>
            <w:right w:w="0" w:type="dxa"/>
          </w:tblCellMar>
        </w:tblPrEx>
        <w:trPr>
          <w:trHeight w:val="1086" w:hRule="atLeast"/>
          <w:jc w:val="center"/>
        </w:trPr>
        <w:tc>
          <w:tcPr>
            <w:tcW w:w="815" w:type="dxa"/>
            <w:vMerge w:val="restart"/>
            <w:tcBorders>
              <w:top w:val="single" w:color="auto" w:sz="4" w:space="0"/>
              <w:left w:val="single" w:color="000000" w:sz="4" w:space="0"/>
              <w:right w:val="single" w:color="auto" w:sz="4" w:space="0"/>
            </w:tcBorders>
            <w:vAlign w:val="center"/>
          </w:tcPr>
          <w:p w14:paraId="75FE6CF4">
            <w:pPr>
              <w:autoSpaceDE w:val="0"/>
              <w:autoSpaceDN w:val="0"/>
              <w:adjustRightInd w:val="0"/>
              <w:snapToGrid w:val="0"/>
              <w:spacing w:line="340" w:lineRule="exact"/>
              <w:ind w:right="-23"/>
              <w:jc w:val="center"/>
              <w:rPr>
                <w:rFonts w:ascii="宋体" w:cs="宋体"/>
                <w:color w:val="auto"/>
                <w:kern w:val="0"/>
                <w:highlight w:val="none"/>
              </w:rPr>
            </w:pPr>
            <w:r>
              <w:rPr>
                <w:rFonts w:ascii="宋体" w:hAnsi="宋体" w:cs="宋体"/>
                <w:color w:val="auto"/>
                <w:kern w:val="0"/>
                <w:highlight w:val="none"/>
              </w:rPr>
              <w:t>2.2.4</w:t>
            </w:r>
          </w:p>
          <w:p w14:paraId="5C8F7D8A">
            <w:pPr>
              <w:autoSpaceDE w:val="0"/>
              <w:autoSpaceDN w:val="0"/>
              <w:adjustRightInd w:val="0"/>
              <w:snapToGrid w:val="0"/>
              <w:spacing w:line="340" w:lineRule="exact"/>
              <w:ind w:right="-23"/>
              <w:jc w:val="center"/>
              <w:rPr>
                <w:rFonts w:ascii="宋体" w:hAnsi="宋体" w:cs="宋体"/>
                <w:color w:val="auto"/>
                <w:kern w:val="0"/>
                <w:highlight w:val="none"/>
              </w:rPr>
            </w:pPr>
            <w:r>
              <w:rPr>
                <w:rFonts w:hint="eastAsia" w:ascii="宋体" w:hAnsi="宋体" w:cs="宋体"/>
                <w:color w:val="auto"/>
                <w:kern w:val="0"/>
                <w:highlight w:val="none"/>
              </w:rPr>
              <w:t>（2）</w:t>
            </w:r>
          </w:p>
        </w:tc>
        <w:tc>
          <w:tcPr>
            <w:tcW w:w="1438" w:type="dxa"/>
            <w:vMerge w:val="restart"/>
            <w:tcBorders>
              <w:top w:val="single" w:color="auto" w:sz="4" w:space="0"/>
              <w:left w:val="single" w:color="auto" w:sz="4" w:space="0"/>
              <w:right w:val="single" w:color="000000" w:sz="4" w:space="0"/>
            </w:tcBorders>
            <w:vAlign w:val="center"/>
          </w:tcPr>
          <w:p w14:paraId="577FF840">
            <w:pPr>
              <w:autoSpaceDE w:val="0"/>
              <w:autoSpaceDN w:val="0"/>
              <w:adjustRightInd w:val="0"/>
              <w:snapToGrid w:val="0"/>
              <w:spacing w:line="340" w:lineRule="exact"/>
              <w:ind w:right="60"/>
              <w:jc w:val="center"/>
              <w:rPr>
                <w:rFonts w:ascii="宋体" w:hAnsi="宋体" w:cs="宋体"/>
                <w:color w:val="auto"/>
                <w:highlight w:val="none"/>
              </w:rPr>
            </w:pPr>
            <w:r>
              <w:rPr>
                <w:rFonts w:hint="eastAsia" w:ascii="宋体" w:hAnsi="宋体" w:cs="宋体"/>
                <w:color w:val="auto"/>
                <w:highlight w:val="none"/>
                <w:lang w:val="en-US" w:eastAsia="zh-CN"/>
              </w:rPr>
              <w:t>劳务作业</w:t>
            </w:r>
            <w:r>
              <w:rPr>
                <w:rFonts w:hint="eastAsia" w:ascii="宋体" w:hAnsi="宋体" w:cs="宋体"/>
                <w:color w:val="auto"/>
                <w:highlight w:val="none"/>
              </w:rPr>
              <w:t>方案（</w:t>
            </w:r>
            <w:r>
              <w:rPr>
                <w:rFonts w:hint="eastAsia" w:ascii="宋体" w:hAnsi="宋体" w:cs="宋体"/>
                <w:color w:val="auto"/>
                <w:highlight w:val="none"/>
                <w:lang w:val="en-US" w:eastAsia="zh-CN"/>
              </w:rPr>
              <w:t>3</w:t>
            </w:r>
            <w:r>
              <w:rPr>
                <w:rFonts w:hint="eastAsia" w:ascii="宋体" w:hAnsi="宋体" w:cs="宋体"/>
                <w:color w:val="auto"/>
                <w:highlight w:val="none"/>
              </w:rPr>
              <w:t>0分）</w:t>
            </w:r>
          </w:p>
        </w:tc>
        <w:tc>
          <w:tcPr>
            <w:tcW w:w="1870" w:type="dxa"/>
            <w:tcBorders>
              <w:top w:val="single" w:color="000000" w:sz="4" w:space="0"/>
              <w:left w:val="single" w:color="000000" w:sz="4" w:space="0"/>
              <w:bottom w:val="single" w:color="auto" w:sz="4" w:space="0"/>
              <w:right w:val="single" w:color="000000" w:sz="4" w:space="0"/>
            </w:tcBorders>
            <w:vAlign w:val="center"/>
          </w:tcPr>
          <w:p w14:paraId="23763A4F">
            <w:pPr>
              <w:keepNext w:val="0"/>
              <w:keepLines w:val="0"/>
              <w:suppressLineNumbers w:val="0"/>
              <w:tabs>
                <w:tab w:val="left" w:pos="1914"/>
              </w:tabs>
              <w:spacing w:before="38" w:beforeAutospacing="0" w:after="0" w:afterAutospacing="0"/>
              <w:ind w:left="0" w:right="-23"/>
              <w:jc w:val="center"/>
              <w:rPr>
                <w:rFonts w:ascii="宋体" w:hAnsi="宋体" w:cs="宋体"/>
                <w:color w:val="auto"/>
                <w:highlight w:val="none"/>
              </w:rPr>
            </w:pPr>
            <w:r>
              <w:rPr>
                <w:rFonts w:hint="eastAsia" w:ascii="宋体" w:hAnsi="宋体" w:cs="宋体"/>
                <w:color w:val="auto"/>
                <w:kern w:val="21"/>
                <w:sz w:val="21"/>
                <w:szCs w:val="21"/>
                <w:highlight w:val="none"/>
                <w:lang w:eastAsia="zh-CN"/>
              </w:rPr>
              <w:t>劳务作业方案布置及规划（</w:t>
            </w:r>
            <w:r>
              <w:rPr>
                <w:rFonts w:hint="eastAsia" w:ascii="宋体" w:hAnsi="宋体" w:cs="宋体"/>
                <w:color w:val="auto"/>
                <w:kern w:val="21"/>
                <w:sz w:val="21"/>
                <w:szCs w:val="21"/>
                <w:highlight w:val="none"/>
                <w:lang w:val="en-US" w:eastAsia="zh-CN"/>
              </w:rPr>
              <w:t>10</w:t>
            </w:r>
            <w:r>
              <w:rPr>
                <w:rFonts w:hint="eastAsia" w:ascii="宋体" w:hAnsi="宋体" w:cs="宋体"/>
                <w:color w:val="auto"/>
                <w:kern w:val="21"/>
                <w:sz w:val="21"/>
                <w:szCs w:val="21"/>
                <w:highlight w:val="none"/>
                <w:lang w:eastAsia="zh-CN"/>
              </w:rPr>
              <w:t>分）</w:t>
            </w:r>
          </w:p>
        </w:tc>
        <w:tc>
          <w:tcPr>
            <w:tcW w:w="5086" w:type="dxa"/>
            <w:tcBorders>
              <w:top w:val="single" w:color="000000" w:sz="4" w:space="0"/>
              <w:left w:val="single" w:color="000000" w:sz="4" w:space="0"/>
              <w:bottom w:val="single" w:color="auto" w:sz="4" w:space="0"/>
              <w:right w:val="single" w:color="000000" w:sz="4" w:space="0"/>
            </w:tcBorders>
            <w:vAlign w:val="center"/>
          </w:tcPr>
          <w:p w14:paraId="040FEC83">
            <w:pPr>
              <w:keepNext w:val="0"/>
              <w:keepLines w:val="0"/>
              <w:suppressLineNumbers w:val="0"/>
              <w:tabs>
                <w:tab w:val="left" w:pos="1914"/>
              </w:tabs>
              <w:spacing w:before="0" w:beforeAutospacing="0" w:after="0" w:afterAutospacing="0" w:line="360" w:lineRule="exact"/>
              <w:ind w:left="0" w:right="0"/>
              <w:jc w:val="both"/>
              <w:rPr>
                <w:rFonts w:hint="default" w:ascii="宋体" w:hAnsi="宋体"/>
                <w:color w:val="auto"/>
                <w:sz w:val="21"/>
                <w:szCs w:val="21"/>
                <w:highlight w:val="none"/>
                <w:lang w:eastAsia="zh-CN"/>
              </w:rPr>
            </w:pPr>
            <w:r>
              <w:rPr>
                <w:rFonts w:hint="eastAsia" w:ascii="宋体" w:hAnsi="宋体"/>
                <w:color w:val="auto"/>
                <w:sz w:val="21"/>
                <w:szCs w:val="21"/>
                <w:highlight w:val="none"/>
                <w:lang w:eastAsia="zh-CN"/>
              </w:rPr>
              <w:t>1）总体布置及规划合理，劳务作业内容齐全，作业流程安排的前后顺序无矛盾，符合本工程的实际情况，得</w:t>
            </w:r>
            <w:r>
              <w:rPr>
                <w:rFonts w:hint="eastAsia" w:ascii="宋体" w:hAnsi="宋体"/>
                <w:color w:val="auto"/>
                <w:sz w:val="21"/>
                <w:szCs w:val="21"/>
                <w:highlight w:val="none"/>
                <w:lang w:val="en-US" w:eastAsia="zh-CN"/>
              </w:rPr>
              <w:t>8</w:t>
            </w:r>
            <w:r>
              <w:rPr>
                <w:rFonts w:hint="default" w:ascii="宋体" w:hAnsi="宋体"/>
                <w:color w:val="auto"/>
                <w:sz w:val="21"/>
                <w:szCs w:val="21"/>
                <w:highlight w:val="none"/>
                <w:lang w:eastAsia="zh-CN"/>
              </w:rPr>
              <w:t>.</w:t>
            </w:r>
            <w:r>
              <w:rPr>
                <w:rFonts w:hint="eastAsia" w:ascii="宋体" w:hAnsi="宋体"/>
                <w:color w:val="auto"/>
                <w:sz w:val="21"/>
                <w:szCs w:val="21"/>
                <w:highlight w:val="none"/>
                <w:lang w:eastAsia="zh-CN"/>
              </w:rPr>
              <w:t>0（不含）～</w:t>
            </w:r>
            <w:r>
              <w:rPr>
                <w:rFonts w:hint="eastAsia" w:ascii="宋体" w:hAnsi="宋体"/>
                <w:color w:val="auto"/>
                <w:sz w:val="21"/>
                <w:szCs w:val="21"/>
                <w:highlight w:val="none"/>
                <w:lang w:val="en-US" w:eastAsia="zh-CN"/>
              </w:rPr>
              <w:t>10</w:t>
            </w:r>
            <w:r>
              <w:rPr>
                <w:rFonts w:hint="default" w:ascii="宋体" w:hAnsi="宋体"/>
                <w:color w:val="auto"/>
                <w:sz w:val="21"/>
                <w:szCs w:val="21"/>
                <w:highlight w:val="none"/>
                <w:lang w:eastAsia="zh-CN"/>
              </w:rPr>
              <w:t>.0</w:t>
            </w:r>
            <w:r>
              <w:rPr>
                <w:rFonts w:hint="eastAsia" w:ascii="宋体" w:hAnsi="宋体"/>
                <w:color w:val="auto"/>
                <w:sz w:val="21"/>
                <w:szCs w:val="21"/>
                <w:highlight w:val="none"/>
                <w:lang w:eastAsia="zh-CN"/>
              </w:rPr>
              <w:t>（含）分。</w:t>
            </w:r>
          </w:p>
          <w:p w14:paraId="0DCBD242">
            <w:pPr>
              <w:keepNext w:val="0"/>
              <w:keepLines w:val="0"/>
              <w:suppressLineNumbers w:val="0"/>
              <w:tabs>
                <w:tab w:val="left" w:pos="1914"/>
              </w:tabs>
              <w:spacing w:before="0" w:beforeAutospacing="0" w:after="0" w:afterAutospacing="0" w:line="360" w:lineRule="exact"/>
              <w:ind w:left="0" w:right="0"/>
              <w:jc w:val="both"/>
              <w:rPr>
                <w:rFonts w:hint="default" w:ascii="宋体" w:hAnsi="宋体"/>
                <w:color w:val="auto"/>
                <w:sz w:val="21"/>
                <w:szCs w:val="21"/>
                <w:highlight w:val="none"/>
                <w:lang w:eastAsia="zh-CN"/>
              </w:rPr>
            </w:pPr>
            <w:r>
              <w:rPr>
                <w:rFonts w:hint="eastAsia" w:ascii="宋体" w:hAnsi="宋体"/>
                <w:color w:val="auto"/>
                <w:sz w:val="21"/>
                <w:szCs w:val="21"/>
                <w:highlight w:val="none"/>
                <w:lang w:eastAsia="zh-CN"/>
              </w:rPr>
              <w:t>2）总体布置及规划较合理，劳务作业内容较齐全，作业流程安排的前后顺序无矛盾，符合本工程的实际情况，得</w:t>
            </w:r>
            <w:r>
              <w:rPr>
                <w:rFonts w:hint="eastAsia" w:ascii="宋体" w:hAnsi="宋体"/>
                <w:color w:val="auto"/>
                <w:sz w:val="21"/>
                <w:szCs w:val="21"/>
                <w:highlight w:val="none"/>
                <w:lang w:val="en-US" w:eastAsia="zh-CN"/>
              </w:rPr>
              <w:t>6</w:t>
            </w:r>
            <w:r>
              <w:rPr>
                <w:rFonts w:hint="default" w:ascii="宋体" w:hAnsi="宋体"/>
                <w:color w:val="auto"/>
                <w:sz w:val="21"/>
                <w:szCs w:val="21"/>
                <w:highlight w:val="none"/>
                <w:lang w:eastAsia="zh-CN"/>
              </w:rPr>
              <w:t>.</w:t>
            </w:r>
            <w:r>
              <w:rPr>
                <w:rFonts w:hint="eastAsia" w:ascii="宋体" w:hAnsi="宋体"/>
                <w:color w:val="auto"/>
                <w:sz w:val="21"/>
                <w:szCs w:val="21"/>
                <w:highlight w:val="none"/>
                <w:lang w:eastAsia="zh-CN"/>
              </w:rPr>
              <w:t>0（不含）～</w:t>
            </w:r>
            <w:r>
              <w:rPr>
                <w:rFonts w:hint="eastAsia" w:ascii="宋体" w:hAnsi="宋体"/>
                <w:color w:val="auto"/>
                <w:sz w:val="21"/>
                <w:szCs w:val="21"/>
                <w:highlight w:val="none"/>
                <w:lang w:val="en-US" w:eastAsia="zh-CN"/>
              </w:rPr>
              <w:t>8</w:t>
            </w:r>
            <w:r>
              <w:rPr>
                <w:rFonts w:hint="default" w:ascii="宋体" w:hAnsi="宋体"/>
                <w:color w:val="auto"/>
                <w:sz w:val="21"/>
                <w:szCs w:val="21"/>
                <w:highlight w:val="none"/>
                <w:lang w:eastAsia="zh-CN"/>
              </w:rPr>
              <w:t>.0</w:t>
            </w:r>
            <w:r>
              <w:rPr>
                <w:rFonts w:hint="eastAsia" w:ascii="宋体" w:hAnsi="宋体"/>
                <w:color w:val="auto"/>
                <w:sz w:val="21"/>
                <w:szCs w:val="21"/>
                <w:highlight w:val="none"/>
                <w:lang w:eastAsia="zh-CN"/>
              </w:rPr>
              <w:t>（含）分。</w:t>
            </w:r>
          </w:p>
          <w:p w14:paraId="16AF5AC1">
            <w:pPr>
              <w:keepNext w:val="0"/>
              <w:keepLines w:val="0"/>
              <w:suppressLineNumbers w:val="0"/>
              <w:spacing w:before="0" w:beforeAutospacing="0" w:after="0" w:afterAutospacing="0" w:line="340" w:lineRule="exact"/>
              <w:ind w:left="0" w:leftChars="0" w:right="0" w:rightChars="0"/>
              <w:rPr>
                <w:color w:val="auto"/>
                <w:highlight w:val="none"/>
              </w:rPr>
            </w:pPr>
            <w:r>
              <w:rPr>
                <w:rFonts w:hint="eastAsia" w:ascii="宋体" w:hAnsi="宋体"/>
                <w:color w:val="auto"/>
                <w:sz w:val="21"/>
                <w:szCs w:val="21"/>
                <w:highlight w:val="none"/>
                <w:lang w:eastAsia="zh-CN"/>
              </w:rPr>
              <w:t>3）总体布置及规划基本合理，劳务作业内容基本齐全，作业流程安排的前后顺序无矛盾，基本符合本工程的实际情况，得</w:t>
            </w:r>
            <w:r>
              <w:rPr>
                <w:rFonts w:hint="eastAsia" w:ascii="宋体" w:hAnsi="宋体"/>
                <w:color w:val="auto"/>
                <w:sz w:val="21"/>
                <w:szCs w:val="21"/>
                <w:highlight w:val="none"/>
                <w:lang w:val="en-US" w:eastAsia="zh-CN"/>
              </w:rPr>
              <w:t>6</w:t>
            </w:r>
            <w:r>
              <w:rPr>
                <w:rFonts w:hint="default" w:ascii="宋体" w:hAnsi="宋体"/>
                <w:color w:val="auto"/>
                <w:sz w:val="21"/>
                <w:szCs w:val="21"/>
                <w:highlight w:val="none"/>
                <w:lang w:eastAsia="zh-CN"/>
              </w:rPr>
              <w:t>.0</w:t>
            </w:r>
            <w:r>
              <w:rPr>
                <w:rFonts w:hint="eastAsia" w:ascii="宋体" w:hAnsi="宋体"/>
                <w:color w:val="auto"/>
                <w:sz w:val="21"/>
                <w:szCs w:val="21"/>
                <w:highlight w:val="none"/>
                <w:lang w:eastAsia="zh-CN"/>
              </w:rPr>
              <w:t>分。</w:t>
            </w:r>
          </w:p>
        </w:tc>
      </w:tr>
      <w:tr w14:paraId="47D672C2">
        <w:tblPrEx>
          <w:tblCellMar>
            <w:top w:w="0" w:type="dxa"/>
            <w:left w:w="0" w:type="dxa"/>
            <w:bottom w:w="0" w:type="dxa"/>
            <w:right w:w="0" w:type="dxa"/>
          </w:tblCellMar>
        </w:tblPrEx>
        <w:trPr>
          <w:trHeight w:val="1086" w:hRule="atLeast"/>
          <w:jc w:val="center"/>
        </w:trPr>
        <w:tc>
          <w:tcPr>
            <w:tcW w:w="815" w:type="dxa"/>
            <w:vMerge w:val="continue"/>
            <w:tcBorders>
              <w:left w:val="single" w:color="000000" w:sz="4" w:space="0"/>
              <w:right w:val="single" w:color="auto" w:sz="4" w:space="0"/>
            </w:tcBorders>
            <w:vAlign w:val="center"/>
          </w:tcPr>
          <w:p w14:paraId="568496BE">
            <w:pPr>
              <w:autoSpaceDE w:val="0"/>
              <w:autoSpaceDN w:val="0"/>
              <w:adjustRightInd w:val="0"/>
              <w:snapToGrid w:val="0"/>
              <w:spacing w:line="340" w:lineRule="exact"/>
              <w:ind w:right="-23"/>
              <w:jc w:val="center"/>
              <w:rPr>
                <w:rFonts w:hint="eastAsia" w:ascii="宋体" w:hAnsi="宋体" w:cs="宋体"/>
                <w:color w:val="auto"/>
                <w:kern w:val="0"/>
                <w:highlight w:val="none"/>
              </w:rPr>
            </w:pPr>
          </w:p>
        </w:tc>
        <w:tc>
          <w:tcPr>
            <w:tcW w:w="1438" w:type="dxa"/>
            <w:vMerge w:val="continue"/>
            <w:tcBorders>
              <w:left w:val="single" w:color="auto" w:sz="4" w:space="0"/>
              <w:right w:val="single" w:color="000000" w:sz="4" w:space="0"/>
            </w:tcBorders>
            <w:vAlign w:val="center"/>
          </w:tcPr>
          <w:p w14:paraId="08BE5DD6">
            <w:pPr>
              <w:autoSpaceDE w:val="0"/>
              <w:autoSpaceDN w:val="0"/>
              <w:adjustRightInd w:val="0"/>
              <w:snapToGrid w:val="0"/>
              <w:spacing w:line="340" w:lineRule="exact"/>
              <w:ind w:right="60"/>
              <w:jc w:val="center"/>
              <w:rPr>
                <w:rFonts w:hint="eastAsia" w:ascii="宋体" w:hAnsi="宋体" w:cs="宋体"/>
                <w:color w:val="auto"/>
                <w:highlight w:val="none"/>
              </w:rPr>
            </w:pPr>
          </w:p>
        </w:tc>
        <w:tc>
          <w:tcPr>
            <w:tcW w:w="1870" w:type="dxa"/>
            <w:tcBorders>
              <w:top w:val="single" w:color="000000" w:sz="4" w:space="0"/>
              <w:left w:val="single" w:color="000000" w:sz="4" w:space="0"/>
              <w:bottom w:val="single" w:color="auto" w:sz="4" w:space="0"/>
              <w:right w:val="single" w:color="000000" w:sz="4" w:space="0"/>
            </w:tcBorders>
            <w:vAlign w:val="center"/>
          </w:tcPr>
          <w:p w14:paraId="52BA8E7E">
            <w:pPr>
              <w:keepNext w:val="0"/>
              <w:keepLines w:val="0"/>
              <w:suppressLineNumbers w:val="0"/>
              <w:spacing w:before="0" w:beforeAutospacing="0" w:after="0" w:afterAutospacing="0" w:line="340" w:lineRule="exact"/>
              <w:ind w:left="0" w:leftChars="0" w:right="0" w:rightChars="0"/>
              <w:jc w:val="center"/>
              <w:rPr>
                <w:rFonts w:hint="eastAsia" w:ascii="宋体" w:hAnsi="宋体" w:cs="宋体"/>
                <w:color w:val="auto"/>
                <w:highlight w:val="none"/>
              </w:rPr>
            </w:pPr>
            <w:r>
              <w:rPr>
                <w:rFonts w:hint="eastAsia" w:ascii="宋体" w:hAnsi="宋体" w:cs="宋体"/>
                <w:color w:val="auto"/>
                <w:kern w:val="21"/>
                <w:sz w:val="21"/>
                <w:szCs w:val="21"/>
                <w:highlight w:val="none"/>
                <w:lang w:eastAsia="zh-CN"/>
              </w:rPr>
              <w:t>主要项目（尤其对重难点、关键工程）的作业方案、方法与技术措施（10分）</w:t>
            </w:r>
          </w:p>
        </w:tc>
        <w:tc>
          <w:tcPr>
            <w:tcW w:w="5086" w:type="dxa"/>
            <w:tcBorders>
              <w:top w:val="single" w:color="000000" w:sz="4" w:space="0"/>
              <w:left w:val="single" w:color="000000" w:sz="4" w:space="0"/>
              <w:bottom w:val="single" w:color="auto" w:sz="4" w:space="0"/>
              <w:right w:val="single" w:color="000000" w:sz="4" w:space="0"/>
            </w:tcBorders>
            <w:vAlign w:val="center"/>
          </w:tcPr>
          <w:p w14:paraId="36800181">
            <w:pPr>
              <w:keepNext w:val="0"/>
              <w:keepLines w:val="0"/>
              <w:suppressLineNumbers w:val="0"/>
              <w:tabs>
                <w:tab w:val="left" w:pos="1914"/>
              </w:tabs>
              <w:spacing w:before="0" w:beforeAutospacing="0" w:after="0" w:afterAutospacing="0" w:line="360" w:lineRule="exact"/>
              <w:ind w:left="0" w:right="0"/>
              <w:jc w:val="both"/>
              <w:rPr>
                <w:rFonts w:hint="default" w:ascii="宋体" w:hAnsi="宋体"/>
                <w:color w:val="auto"/>
                <w:sz w:val="21"/>
                <w:szCs w:val="21"/>
                <w:highlight w:val="none"/>
                <w:lang w:eastAsia="zh-CN"/>
              </w:rPr>
            </w:pPr>
            <w:r>
              <w:rPr>
                <w:rFonts w:hint="eastAsia" w:ascii="宋体" w:hAnsi="宋体"/>
                <w:color w:val="auto"/>
                <w:sz w:val="21"/>
                <w:szCs w:val="21"/>
                <w:highlight w:val="none"/>
                <w:lang w:eastAsia="zh-CN"/>
              </w:rPr>
              <w:t>1）劳务作业方案及技术措施科学、合理，与项目实际结合紧密；劳务作业方法先进、可靠；重点难点及关键工程技术方案可行，得8</w:t>
            </w:r>
            <w:r>
              <w:rPr>
                <w:rFonts w:hint="default" w:ascii="宋体" w:hAnsi="宋体"/>
                <w:color w:val="auto"/>
                <w:sz w:val="21"/>
                <w:szCs w:val="21"/>
                <w:highlight w:val="none"/>
                <w:lang w:eastAsia="zh-CN"/>
              </w:rPr>
              <w:t>.</w:t>
            </w:r>
            <w:r>
              <w:rPr>
                <w:rFonts w:hint="eastAsia" w:ascii="宋体" w:hAnsi="宋体"/>
                <w:color w:val="auto"/>
                <w:sz w:val="21"/>
                <w:szCs w:val="21"/>
                <w:highlight w:val="none"/>
                <w:lang w:eastAsia="zh-CN"/>
              </w:rPr>
              <w:t>0（不含）～</w:t>
            </w:r>
            <w:r>
              <w:rPr>
                <w:rFonts w:hint="default" w:ascii="宋体" w:hAnsi="宋体"/>
                <w:color w:val="auto"/>
                <w:sz w:val="21"/>
                <w:szCs w:val="21"/>
                <w:highlight w:val="none"/>
                <w:lang w:eastAsia="zh-CN"/>
              </w:rPr>
              <w:t>1</w:t>
            </w:r>
            <w:r>
              <w:rPr>
                <w:rFonts w:hint="eastAsia" w:ascii="宋体" w:hAnsi="宋体"/>
                <w:color w:val="auto"/>
                <w:sz w:val="21"/>
                <w:szCs w:val="21"/>
                <w:highlight w:val="none"/>
                <w:lang w:eastAsia="zh-CN"/>
              </w:rPr>
              <w:t>0</w:t>
            </w:r>
            <w:r>
              <w:rPr>
                <w:rFonts w:hint="default" w:ascii="宋体" w:hAnsi="宋体"/>
                <w:color w:val="auto"/>
                <w:sz w:val="21"/>
                <w:szCs w:val="21"/>
                <w:highlight w:val="none"/>
                <w:lang w:eastAsia="zh-CN"/>
              </w:rPr>
              <w:t>.0</w:t>
            </w:r>
            <w:r>
              <w:rPr>
                <w:rFonts w:hint="eastAsia" w:ascii="宋体" w:hAnsi="宋体"/>
                <w:color w:val="auto"/>
                <w:sz w:val="21"/>
                <w:szCs w:val="21"/>
                <w:highlight w:val="none"/>
                <w:lang w:eastAsia="zh-CN"/>
              </w:rPr>
              <w:t>（含）分。</w:t>
            </w:r>
          </w:p>
          <w:p w14:paraId="4C313600">
            <w:pPr>
              <w:keepNext w:val="0"/>
              <w:keepLines w:val="0"/>
              <w:suppressLineNumbers w:val="0"/>
              <w:tabs>
                <w:tab w:val="left" w:pos="1914"/>
              </w:tabs>
              <w:spacing w:before="0" w:beforeAutospacing="0" w:after="0" w:afterAutospacing="0" w:line="360" w:lineRule="exact"/>
              <w:ind w:left="0" w:right="0"/>
              <w:jc w:val="both"/>
              <w:rPr>
                <w:rFonts w:hint="default" w:ascii="宋体" w:hAnsi="宋体"/>
                <w:color w:val="auto"/>
                <w:sz w:val="21"/>
                <w:szCs w:val="21"/>
                <w:highlight w:val="none"/>
                <w:lang w:eastAsia="zh-CN"/>
              </w:rPr>
            </w:pPr>
            <w:r>
              <w:rPr>
                <w:rFonts w:hint="eastAsia" w:ascii="宋体" w:hAnsi="宋体"/>
                <w:color w:val="auto"/>
                <w:sz w:val="21"/>
                <w:szCs w:val="21"/>
                <w:highlight w:val="none"/>
                <w:lang w:eastAsia="zh-CN"/>
              </w:rPr>
              <w:t>2）劳务作业方案及技术措施较科学、较合理，与项目实际结合较紧密；劳务作业方法较先进、较可靠；重点难点及关键工程技术方案较可行，得6</w:t>
            </w:r>
            <w:r>
              <w:rPr>
                <w:rFonts w:hint="default" w:ascii="宋体" w:hAnsi="宋体"/>
                <w:color w:val="auto"/>
                <w:sz w:val="21"/>
                <w:szCs w:val="21"/>
                <w:highlight w:val="none"/>
                <w:lang w:eastAsia="zh-CN"/>
              </w:rPr>
              <w:t>.</w:t>
            </w:r>
            <w:r>
              <w:rPr>
                <w:rFonts w:hint="eastAsia" w:ascii="宋体" w:hAnsi="宋体"/>
                <w:color w:val="auto"/>
                <w:sz w:val="21"/>
                <w:szCs w:val="21"/>
                <w:highlight w:val="none"/>
                <w:lang w:eastAsia="zh-CN"/>
              </w:rPr>
              <w:t>0（不含）～8</w:t>
            </w:r>
            <w:r>
              <w:rPr>
                <w:rFonts w:hint="default" w:ascii="宋体" w:hAnsi="宋体"/>
                <w:color w:val="auto"/>
                <w:sz w:val="21"/>
                <w:szCs w:val="21"/>
                <w:highlight w:val="none"/>
                <w:lang w:eastAsia="zh-CN"/>
              </w:rPr>
              <w:t>.0</w:t>
            </w:r>
            <w:r>
              <w:rPr>
                <w:rFonts w:hint="eastAsia" w:ascii="宋体" w:hAnsi="宋体"/>
                <w:color w:val="auto"/>
                <w:sz w:val="21"/>
                <w:szCs w:val="21"/>
                <w:highlight w:val="none"/>
                <w:lang w:eastAsia="zh-CN"/>
              </w:rPr>
              <w:t>（含）分。</w:t>
            </w:r>
          </w:p>
          <w:p w14:paraId="407107A5">
            <w:pPr>
              <w:keepNext w:val="0"/>
              <w:keepLines w:val="0"/>
              <w:suppressLineNumbers w:val="0"/>
              <w:spacing w:before="0" w:beforeAutospacing="0" w:after="0" w:afterAutospacing="0" w:line="340" w:lineRule="exact"/>
              <w:ind w:left="0" w:leftChars="0" w:right="0" w:rightChars="0"/>
              <w:rPr>
                <w:rFonts w:hint="eastAsia" w:ascii="宋体" w:hAnsi="宋体" w:cs="宋体"/>
                <w:color w:val="auto"/>
                <w:highlight w:val="none"/>
              </w:rPr>
            </w:pPr>
            <w:r>
              <w:rPr>
                <w:rFonts w:hint="eastAsia" w:ascii="宋体" w:hAnsi="宋体"/>
                <w:color w:val="auto"/>
                <w:sz w:val="21"/>
                <w:szCs w:val="21"/>
                <w:highlight w:val="none"/>
                <w:lang w:eastAsia="zh-CN"/>
              </w:rPr>
              <w:t>3）劳务作业方案及技术措施基本合理，基本能与项目实际结合；劳务作业方法基本可靠；重点难点及关键工程技术方案基本可行，得6</w:t>
            </w:r>
            <w:r>
              <w:rPr>
                <w:rFonts w:hint="default" w:ascii="宋体" w:hAnsi="宋体"/>
                <w:color w:val="auto"/>
                <w:sz w:val="21"/>
                <w:szCs w:val="21"/>
                <w:highlight w:val="none"/>
                <w:lang w:eastAsia="zh-CN"/>
              </w:rPr>
              <w:t>.0</w:t>
            </w:r>
            <w:r>
              <w:rPr>
                <w:rFonts w:hint="eastAsia" w:ascii="宋体" w:hAnsi="宋体"/>
                <w:color w:val="auto"/>
                <w:sz w:val="21"/>
                <w:szCs w:val="21"/>
                <w:highlight w:val="none"/>
                <w:lang w:eastAsia="zh-CN"/>
              </w:rPr>
              <w:t>分。</w:t>
            </w:r>
          </w:p>
        </w:tc>
      </w:tr>
      <w:tr w14:paraId="48B52938">
        <w:tblPrEx>
          <w:tblCellMar>
            <w:top w:w="0" w:type="dxa"/>
            <w:left w:w="0" w:type="dxa"/>
            <w:bottom w:w="0" w:type="dxa"/>
            <w:right w:w="0" w:type="dxa"/>
          </w:tblCellMar>
        </w:tblPrEx>
        <w:trPr>
          <w:trHeight w:val="1097" w:hRule="atLeast"/>
          <w:jc w:val="center"/>
        </w:trPr>
        <w:tc>
          <w:tcPr>
            <w:tcW w:w="815" w:type="dxa"/>
            <w:vMerge w:val="continue"/>
            <w:tcBorders>
              <w:left w:val="single" w:color="000000" w:sz="4" w:space="0"/>
              <w:right w:val="single" w:color="auto" w:sz="4" w:space="0"/>
            </w:tcBorders>
            <w:vAlign w:val="center"/>
          </w:tcPr>
          <w:p w14:paraId="0AF854FE">
            <w:pPr>
              <w:autoSpaceDE w:val="0"/>
              <w:autoSpaceDN w:val="0"/>
              <w:adjustRightInd w:val="0"/>
              <w:snapToGrid w:val="0"/>
              <w:spacing w:after="100" w:afterAutospacing="1" w:line="340" w:lineRule="exact"/>
              <w:ind w:left="234" w:right="-20"/>
              <w:jc w:val="center"/>
              <w:rPr>
                <w:rFonts w:ascii="宋体" w:cs="宋体"/>
                <w:color w:val="auto"/>
                <w:kern w:val="0"/>
                <w:highlight w:val="none"/>
              </w:rPr>
            </w:pPr>
          </w:p>
        </w:tc>
        <w:tc>
          <w:tcPr>
            <w:tcW w:w="1438" w:type="dxa"/>
            <w:vMerge w:val="continue"/>
            <w:tcBorders>
              <w:left w:val="single" w:color="auto" w:sz="4" w:space="0"/>
              <w:right w:val="single" w:color="000000" w:sz="4" w:space="0"/>
            </w:tcBorders>
            <w:vAlign w:val="center"/>
          </w:tcPr>
          <w:p w14:paraId="6BD8CBAE">
            <w:pPr>
              <w:autoSpaceDE w:val="0"/>
              <w:autoSpaceDN w:val="0"/>
              <w:adjustRightInd w:val="0"/>
              <w:snapToGrid w:val="0"/>
              <w:spacing w:line="340" w:lineRule="exact"/>
              <w:ind w:left="345" w:right="60" w:hanging="209"/>
              <w:jc w:val="center"/>
              <w:rPr>
                <w:rFonts w:ascii="宋体" w:cs="宋体"/>
                <w:color w:val="auto"/>
                <w:kern w:val="0"/>
                <w:highlight w:val="none"/>
              </w:rPr>
            </w:pPr>
          </w:p>
        </w:tc>
        <w:tc>
          <w:tcPr>
            <w:tcW w:w="1870" w:type="dxa"/>
            <w:tcBorders>
              <w:top w:val="single" w:color="auto" w:sz="4" w:space="0"/>
              <w:left w:val="single" w:color="000000" w:sz="4" w:space="0"/>
              <w:right w:val="single" w:color="000000" w:sz="4" w:space="0"/>
            </w:tcBorders>
            <w:vAlign w:val="center"/>
          </w:tcPr>
          <w:p w14:paraId="01F26A68">
            <w:pPr>
              <w:keepNext w:val="0"/>
              <w:keepLines w:val="0"/>
              <w:suppressLineNumbers w:val="0"/>
              <w:spacing w:before="0" w:beforeAutospacing="0" w:after="0" w:afterAutospacing="0" w:line="340" w:lineRule="exact"/>
              <w:ind w:left="0" w:leftChars="0" w:right="0" w:rightChars="0"/>
              <w:jc w:val="center"/>
              <w:rPr>
                <w:rFonts w:ascii="Times New Roman" w:hAnsi="Times New Roman" w:eastAsia="宋体"/>
                <w:b w:val="0"/>
                <w:color w:val="auto"/>
                <w:sz w:val="21"/>
                <w:szCs w:val="21"/>
                <w:highlight w:val="none"/>
              </w:rPr>
            </w:pPr>
            <w:r>
              <w:rPr>
                <w:rFonts w:hint="eastAsia" w:ascii="宋体" w:hAnsi="宋体" w:cs="宋体"/>
                <w:color w:val="auto"/>
                <w:kern w:val="21"/>
                <w:sz w:val="21"/>
                <w:szCs w:val="21"/>
                <w:highlight w:val="none"/>
                <w:lang w:eastAsia="zh-CN"/>
              </w:rPr>
              <w:t>工期保证措施、质量和安全管理体系及保证措施（</w:t>
            </w:r>
            <w:r>
              <w:rPr>
                <w:rFonts w:hint="eastAsia" w:ascii="宋体" w:hAnsi="宋体" w:cs="宋体"/>
                <w:color w:val="auto"/>
                <w:kern w:val="21"/>
                <w:sz w:val="21"/>
                <w:szCs w:val="21"/>
                <w:highlight w:val="none"/>
                <w:lang w:val="en-US" w:eastAsia="zh-CN"/>
              </w:rPr>
              <w:t>10</w:t>
            </w:r>
            <w:r>
              <w:rPr>
                <w:rFonts w:hint="eastAsia" w:ascii="宋体" w:hAnsi="宋体" w:cs="宋体"/>
                <w:color w:val="auto"/>
                <w:kern w:val="21"/>
                <w:sz w:val="21"/>
                <w:szCs w:val="21"/>
                <w:highlight w:val="none"/>
                <w:lang w:eastAsia="zh-CN"/>
              </w:rPr>
              <w:t>分）</w:t>
            </w:r>
          </w:p>
        </w:tc>
        <w:tc>
          <w:tcPr>
            <w:tcW w:w="5086" w:type="dxa"/>
            <w:tcBorders>
              <w:top w:val="single" w:color="auto" w:sz="4" w:space="0"/>
              <w:left w:val="single" w:color="000000" w:sz="4" w:space="0"/>
              <w:right w:val="single" w:color="000000" w:sz="4" w:space="0"/>
            </w:tcBorders>
            <w:vAlign w:val="center"/>
          </w:tcPr>
          <w:p w14:paraId="5A25A97A">
            <w:pPr>
              <w:keepNext w:val="0"/>
              <w:keepLines w:val="0"/>
              <w:suppressLineNumbers w:val="0"/>
              <w:tabs>
                <w:tab w:val="left" w:pos="1914"/>
              </w:tabs>
              <w:spacing w:before="0" w:beforeAutospacing="0" w:after="0" w:afterAutospacing="0" w:line="360" w:lineRule="exact"/>
              <w:ind w:left="0" w:right="0"/>
              <w:jc w:val="both"/>
              <w:rPr>
                <w:rFonts w:hint="default" w:ascii="宋体" w:hAnsi="宋体"/>
                <w:color w:val="auto"/>
                <w:sz w:val="21"/>
                <w:szCs w:val="21"/>
                <w:highlight w:val="none"/>
                <w:lang w:eastAsia="zh-CN"/>
              </w:rPr>
            </w:pPr>
            <w:r>
              <w:rPr>
                <w:rFonts w:hint="eastAsia" w:ascii="宋体" w:hAnsi="宋体"/>
                <w:color w:val="auto"/>
                <w:sz w:val="21"/>
                <w:szCs w:val="21"/>
                <w:highlight w:val="none"/>
                <w:lang w:eastAsia="zh-CN"/>
              </w:rPr>
              <w:t>1）管理体系健全、制度完善、保证措施合理可行，得</w:t>
            </w:r>
            <w:r>
              <w:rPr>
                <w:rFonts w:hint="eastAsia" w:ascii="宋体" w:hAnsi="宋体"/>
                <w:color w:val="auto"/>
                <w:sz w:val="21"/>
                <w:szCs w:val="21"/>
                <w:highlight w:val="none"/>
                <w:lang w:val="en-US" w:eastAsia="zh-CN"/>
              </w:rPr>
              <w:t>8.0</w:t>
            </w:r>
            <w:r>
              <w:rPr>
                <w:rFonts w:hint="eastAsia" w:ascii="宋体" w:hAnsi="宋体"/>
                <w:color w:val="auto"/>
                <w:sz w:val="21"/>
                <w:szCs w:val="21"/>
                <w:highlight w:val="none"/>
                <w:lang w:eastAsia="zh-CN"/>
              </w:rPr>
              <w:t>（不含）～</w:t>
            </w:r>
            <w:r>
              <w:rPr>
                <w:rFonts w:hint="eastAsia" w:ascii="宋体" w:hAnsi="宋体"/>
                <w:color w:val="auto"/>
                <w:sz w:val="21"/>
                <w:szCs w:val="21"/>
                <w:highlight w:val="none"/>
                <w:lang w:val="en-US" w:eastAsia="zh-CN"/>
              </w:rPr>
              <w:t>10</w:t>
            </w:r>
            <w:r>
              <w:rPr>
                <w:rFonts w:hint="default" w:ascii="宋体" w:hAnsi="宋体"/>
                <w:color w:val="auto"/>
                <w:sz w:val="21"/>
                <w:szCs w:val="21"/>
                <w:highlight w:val="none"/>
                <w:lang w:eastAsia="zh-CN"/>
              </w:rPr>
              <w:t>.0</w:t>
            </w:r>
            <w:r>
              <w:rPr>
                <w:rFonts w:hint="eastAsia" w:ascii="宋体" w:hAnsi="宋体"/>
                <w:color w:val="auto"/>
                <w:sz w:val="21"/>
                <w:szCs w:val="21"/>
                <w:highlight w:val="none"/>
                <w:lang w:eastAsia="zh-CN"/>
              </w:rPr>
              <w:t>（含）分。</w:t>
            </w:r>
          </w:p>
          <w:p w14:paraId="32427604">
            <w:pPr>
              <w:keepNext w:val="0"/>
              <w:keepLines w:val="0"/>
              <w:suppressLineNumbers w:val="0"/>
              <w:tabs>
                <w:tab w:val="left" w:pos="1914"/>
              </w:tabs>
              <w:spacing w:before="0" w:beforeAutospacing="0" w:after="0" w:afterAutospacing="0" w:line="360" w:lineRule="exact"/>
              <w:ind w:left="0" w:right="0"/>
              <w:jc w:val="both"/>
              <w:rPr>
                <w:rFonts w:hint="default" w:ascii="宋体" w:hAnsi="宋体"/>
                <w:color w:val="auto"/>
                <w:sz w:val="21"/>
                <w:szCs w:val="21"/>
                <w:highlight w:val="none"/>
                <w:lang w:eastAsia="zh-CN"/>
              </w:rPr>
            </w:pPr>
            <w:r>
              <w:rPr>
                <w:rFonts w:hint="eastAsia" w:ascii="宋体" w:hAnsi="宋体"/>
                <w:color w:val="auto"/>
                <w:sz w:val="21"/>
                <w:szCs w:val="21"/>
                <w:highlight w:val="none"/>
                <w:lang w:eastAsia="zh-CN"/>
              </w:rPr>
              <w:t>2）管理体系较健全、制度较完善、保证措施较合理，得</w:t>
            </w:r>
            <w:r>
              <w:rPr>
                <w:rFonts w:hint="eastAsia" w:ascii="宋体" w:hAnsi="宋体"/>
                <w:color w:val="auto"/>
                <w:sz w:val="21"/>
                <w:szCs w:val="21"/>
                <w:highlight w:val="none"/>
                <w:lang w:val="en-US" w:eastAsia="zh-CN"/>
              </w:rPr>
              <w:t>6.0</w:t>
            </w:r>
            <w:r>
              <w:rPr>
                <w:rFonts w:hint="eastAsia" w:ascii="宋体" w:hAnsi="宋体"/>
                <w:color w:val="auto"/>
                <w:sz w:val="21"/>
                <w:szCs w:val="21"/>
                <w:highlight w:val="none"/>
                <w:lang w:eastAsia="zh-CN"/>
              </w:rPr>
              <w:t>（不含）～</w:t>
            </w:r>
            <w:r>
              <w:rPr>
                <w:rFonts w:hint="eastAsia" w:ascii="宋体" w:hAnsi="宋体"/>
                <w:color w:val="auto"/>
                <w:sz w:val="21"/>
                <w:szCs w:val="21"/>
                <w:highlight w:val="none"/>
                <w:lang w:val="en-US" w:eastAsia="zh-CN"/>
              </w:rPr>
              <w:t>8.0</w:t>
            </w:r>
            <w:r>
              <w:rPr>
                <w:rFonts w:hint="eastAsia" w:ascii="宋体" w:hAnsi="宋体"/>
                <w:color w:val="auto"/>
                <w:sz w:val="21"/>
                <w:szCs w:val="21"/>
                <w:highlight w:val="none"/>
                <w:lang w:eastAsia="zh-CN"/>
              </w:rPr>
              <w:t>（含）分。</w:t>
            </w:r>
          </w:p>
          <w:p w14:paraId="066C083D">
            <w:pPr>
              <w:keepNext w:val="0"/>
              <w:keepLines w:val="0"/>
              <w:suppressLineNumbers w:val="0"/>
              <w:tabs>
                <w:tab w:val="left" w:pos="1914"/>
              </w:tabs>
              <w:spacing w:before="0" w:beforeAutospacing="0" w:after="0" w:afterAutospacing="0" w:line="360" w:lineRule="exact"/>
              <w:ind w:left="0" w:leftChars="0" w:right="0" w:rightChars="0"/>
              <w:jc w:val="both"/>
              <w:rPr>
                <w:rFonts w:ascii="Times New Roman" w:hAnsi="Times New Roman" w:eastAsia="宋体"/>
                <w:b w:val="0"/>
                <w:color w:val="auto"/>
                <w:sz w:val="21"/>
                <w:szCs w:val="21"/>
                <w:highlight w:val="none"/>
              </w:rPr>
            </w:pPr>
            <w:r>
              <w:rPr>
                <w:rFonts w:hint="eastAsia" w:ascii="宋体" w:hAnsi="宋体"/>
                <w:color w:val="auto"/>
                <w:sz w:val="21"/>
                <w:szCs w:val="21"/>
                <w:highlight w:val="none"/>
                <w:lang w:eastAsia="zh-CN"/>
              </w:rPr>
              <w:t>3）管理体系基本健全、制度基本完善、保证措施基本可行，得</w:t>
            </w:r>
            <w:r>
              <w:rPr>
                <w:rFonts w:hint="eastAsia" w:ascii="宋体" w:hAnsi="宋体"/>
                <w:color w:val="auto"/>
                <w:sz w:val="21"/>
                <w:szCs w:val="21"/>
                <w:highlight w:val="none"/>
                <w:lang w:val="en-US" w:eastAsia="zh-CN"/>
              </w:rPr>
              <w:t>6.0</w:t>
            </w:r>
            <w:r>
              <w:rPr>
                <w:rFonts w:hint="eastAsia" w:ascii="宋体" w:hAnsi="宋体"/>
                <w:color w:val="auto"/>
                <w:sz w:val="21"/>
                <w:szCs w:val="21"/>
                <w:highlight w:val="none"/>
                <w:lang w:eastAsia="zh-CN"/>
              </w:rPr>
              <w:t>分。</w:t>
            </w:r>
          </w:p>
        </w:tc>
      </w:tr>
      <w:tr w14:paraId="2A3BCCE8">
        <w:tblPrEx>
          <w:tblCellMar>
            <w:top w:w="0" w:type="dxa"/>
            <w:left w:w="0" w:type="dxa"/>
            <w:bottom w:w="0" w:type="dxa"/>
            <w:right w:w="0" w:type="dxa"/>
          </w:tblCellMar>
        </w:tblPrEx>
        <w:trPr>
          <w:trHeight w:val="534" w:hRule="atLeast"/>
          <w:jc w:val="center"/>
        </w:trPr>
        <w:tc>
          <w:tcPr>
            <w:tcW w:w="815" w:type="dxa"/>
            <w:tcBorders>
              <w:top w:val="single" w:color="auto" w:sz="4" w:space="0"/>
              <w:left w:val="single" w:color="auto" w:sz="4" w:space="0"/>
              <w:bottom w:val="single" w:color="auto" w:sz="4" w:space="0"/>
              <w:right w:val="single" w:color="auto" w:sz="4" w:space="0"/>
            </w:tcBorders>
            <w:vAlign w:val="center"/>
          </w:tcPr>
          <w:p w14:paraId="714363E4">
            <w:pPr>
              <w:autoSpaceDE w:val="0"/>
              <w:autoSpaceDN w:val="0"/>
              <w:adjustRightInd w:val="0"/>
              <w:snapToGrid w:val="0"/>
              <w:spacing w:line="340" w:lineRule="exact"/>
              <w:ind w:right="-23"/>
              <w:jc w:val="center"/>
              <w:rPr>
                <w:rFonts w:ascii="宋体" w:cs="宋体"/>
                <w:color w:val="auto"/>
                <w:kern w:val="0"/>
                <w:highlight w:val="none"/>
              </w:rPr>
            </w:pPr>
            <w:r>
              <w:rPr>
                <w:rFonts w:ascii="宋体" w:hAnsi="宋体" w:cs="宋体"/>
                <w:color w:val="auto"/>
                <w:kern w:val="0"/>
                <w:highlight w:val="none"/>
              </w:rPr>
              <w:t>2.2.4</w:t>
            </w:r>
          </w:p>
          <w:p w14:paraId="1ECF0E04">
            <w:pPr>
              <w:autoSpaceDE w:val="0"/>
              <w:autoSpaceDN w:val="0"/>
              <w:adjustRightInd w:val="0"/>
              <w:snapToGrid w:val="0"/>
              <w:spacing w:line="340" w:lineRule="exact"/>
              <w:ind w:right="-23"/>
              <w:jc w:val="center"/>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3</w:t>
            </w:r>
            <w:r>
              <w:rPr>
                <w:rFonts w:hint="eastAsia" w:ascii="宋体" w:hAnsi="宋体" w:cs="宋体"/>
                <w:color w:val="auto"/>
                <w:kern w:val="0"/>
                <w:highlight w:val="none"/>
              </w:rPr>
              <w:t>）</w:t>
            </w:r>
          </w:p>
        </w:tc>
        <w:tc>
          <w:tcPr>
            <w:tcW w:w="1438" w:type="dxa"/>
            <w:tcBorders>
              <w:top w:val="single" w:color="auto" w:sz="4" w:space="0"/>
              <w:left w:val="single" w:color="auto" w:sz="4" w:space="0"/>
              <w:bottom w:val="single" w:color="auto" w:sz="4" w:space="0"/>
              <w:right w:val="single" w:color="auto" w:sz="4" w:space="0"/>
            </w:tcBorders>
            <w:vAlign w:val="center"/>
          </w:tcPr>
          <w:p w14:paraId="56C21874">
            <w:pPr>
              <w:autoSpaceDE w:val="0"/>
              <w:autoSpaceDN w:val="0"/>
              <w:adjustRightInd w:val="0"/>
              <w:snapToGrid w:val="0"/>
              <w:spacing w:line="340" w:lineRule="exact"/>
              <w:ind w:right="60"/>
              <w:jc w:val="center"/>
              <w:rPr>
                <w:rFonts w:ascii="宋体" w:cs="宋体"/>
                <w:color w:val="auto"/>
                <w:kern w:val="0"/>
                <w:highlight w:val="none"/>
              </w:rPr>
            </w:pPr>
            <w:r>
              <w:rPr>
                <w:rFonts w:hint="eastAsia" w:ascii="宋体" w:hAnsi="宋体" w:cs="宋体"/>
                <w:color w:val="auto"/>
                <w:kern w:val="0"/>
                <w:highlight w:val="none"/>
              </w:rPr>
              <w:t>投标</w:t>
            </w:r>
            <w:r>
              <w:rPr>
                <w:rFonts w:hint="eastAsia" w:ascii="宋体" w:hAnsi="宋体" w:cs="宋体"/>
                <w:color w:val="auto"/>
                <w:spacing w:val="-2"/>
                <w:kern w:val="0"/>
                <w:highlight w:val="none"/>
              </w:rPr>
              <w:t>报</w:t>
            </w:r>
            <w:r>
              <w:rPr>
                <w:rFonts w:hint="eastAsia" w:ascii="宋体" w:hAnsi="宋体" w:cs="宋体"/>
                <w:color w:val="auto"/>
                <w:kern w:val="0"/>
                <w:highlight w:val="none"/>
              </w:rPr>
              <w:t>价评分</w:t>
            </w:r>
            <w:r>
              <w:rPr>
                <w:rFonts w:hint="eastAsia" w:ascii="宋体" w:hAnsi="宋体" w:cs="宋体"/>
                <w:color w:val="auto"/>
                <w:spacing w:val="-2"/>
                <w:kern w:val="0"/>
                <w:highlight w:val="none"/>
              </w:rPr>
              <w:t>标</w:t>
            </w:r>
            <w:r>
              <w:rPr>
                <w:rFonts w:hint="eastAsia" w:ascii="宋体" w:hAnsi="宋体" w:cs="宋体"/>
                <w:color w:val="auto"/>
                <w:kern w:val="0"/>
                <w:highlight w:val="none"/>
              </w:rPr>
              <w:t>准（</w:t>
            </w:r>
            <w:r>
              <w:rPr>
                <w:rFonts w:hint="eastAsia" w:ascii="宋体" w:hAnsi="宋体" w:cs="宋体"/>
                <w:color w:val="auto"/>
                <w:kern w:val="0"/>
                <w:highlight w:val="none"/>
                <w:lang w:val="en-US" w:eastAsia="zh-CN"/>
              </w:rPr>
              <w:t>5</w:t>
            </w:r>
            <w:r>
              <w:rPr>
                <w:rFonts w:hint="eastAsia" w:ascii="宋体" w:hAnsi="宋体" w:cs="宋体"/>
                <w:color w:val="auto"/>
                <w:kern w:val="0"/>
                <w:highlight w:val="none"/>
              </w:rPr>
              <w:t>0分）</w:t>
            </w:r>
          </w:p>
        </w:tc>
        <w:tc>
          <w:tcPr>
            <w:tcW w:w="6956" w:type="dxa"/>
            <w:gridSpan w:val="2"/>
            <w:tcBorders>
              <w:top w:val="single" w:color="000000" w:sz="4" w:space="0"/>
              <w:left w:val="single" w:color="auto" w:sz="4" w:space="0"/>
              <w:bottom w:val="single" w:color="auto" w:sz="4" w:space="0"/>
              <w:right w:val="single" w:color="000000" w:sz="4" w:space="0"/>
            </w:tcBorders>
            <w:vAlign w:val="center"/>
          </w:tcPr>
          <w:p w14:paraId="408C4561">
            <w:pPr>
              <w:rPr>
                <w:rFonts w:ascii="宋体"/>
                <w:color w:val="auto"/>
                <w:highlight w:val="none"/>
              </w:rPr>
            </w:pPr>
            <w:r>
              <w:rPr>
                <w:rFonts w:hint="eastAsia" w:ascii="宋体" w:hAnsi="宋体"/>
                <w:color w:val="auto"/>
                <w:highlight w:val="none"/>
              </w:rPr>
              <w:t>投标价得分计算公式示例：</w:t>
            </w:r>
          </w:p>
          <w:p w14:paraId="5D75F272">
            <w:pPr>
              <w:rPr>
                <w:rFonts w:asci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）如果投标人的投标价＞评标基准价，则投标价得分</w:t>
            </w:r>
            <w:r>
              <w:rPr>
                <w:rFonts w:ascii="宋体" w:hAnsi="宋体"/>
                <w:color w:val="auto"/>
                <w:highlight w:val="none"/>
              </w:rPr>
              <w:t>=F-</w:t>
            </w:r>
            <w:r>
              <w:rPr>
                <w:rFonts w:hint="eastAsia" w:ascii="宋体" w:hAnsi="宋体"/>
                <w:color w:val="auto"/>
                <w:highlight w:val="none"/>
              </w:rPr>
              <w:t>（投标人投标价</w:t>
            </w:r>
            <w:r>
              <w:rPr>
                <w:rFonts w:ascii="宋体"/>
                <w:color w:val="auto"/>
                <w:highlight w:val="none"/>
              </w:rPr>
              <w:t>-</w:t>
            </w:r>
            <w:r>
              <w:rPr>
                <w:rFonts w:hint="eastAsia" w:ascii="宋体" w:hAnsi="宋体"/>
                <w:color w:val="auto"/>
                <w:highlight w:val="none"/>
              </w:rPr>
              <w:t>评标基准价）</w:t>
            </w:r>
            <w:r>
              <w:rPr>
                <w:rFonts w:ascii="宋体" w:hAnsi="宋体"/>
                <w:color w:val="auto"/>
                <w:highlight w:val="none"/>
              </w:rPr>
              <w:t>/</w:t>
            </w:r>
            <w:r>
              <w:rPr>
                <w:rFonts w:hint="eastAsia" w:ascii="宋体" w:hAnsi="宋体"/>
                <w:color w:val="auto"/>
                <w:highlight w:val="none"/>
              </w:rPr>
              <w:t>评标基准价×</w:t>
            </w:r>
            <w:r>
              <w:rPr>
                <w:rFonts w:ascii="宋体" w:hAnsi="宋体"/>
                <w:color w:val="auto"/>
                <w:highlight w:val="none"/>
              </w:rPr>
              <w:t>100</w:t>
            </w:r>
            <w:r>
              <w:rPr>
                <w:rFonts w:hint="eastAsia" w:ascii="宋体" w:hAnsi="宋体"/>
                <w:color w:val="auto"/>
                <w:highlight w:val="none"/>
              </w:rPr>
              <w:t>×</w:t>
            </w:r>
            <w:r>
              <w:rPr>
                <w:rFonts w:ascii="宋体" w:hAnsi="宋体"/>
                <w:color w:val="auto"/>
                <w:highlight w:val="none"/>
              </w:rPr>
              <w:t>E1</w:t>
            </w:r>
          </w:p>
          <w:p w14:paraId="56AA1610">
            <w:pPr>
              <w:rPr>
                <w:rFonts w:asci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）如果投标人的投标价≤评标基准价，则投标价得分</w:t>
            </w:r>
            <w:r>
              <w:rPr>
                <w:rFonts w:ascii="宋体" w:hAnsi="宋体"/>
                <w:color w:val="auto"/>
                <w:highlight w:val="none"/>
              </w:rPr>
              <w:t>=F+(</w:t>
            </w:r>
            <w:r>
              <w:rPr>
                <w:rFonts w:hint="eastAsia" w:ascii="宋体" w:hAnsi="宋体"/>
                <w:color w:val="auto"/>
                <w:highlight w:val="none"/>
              </w:rPr>
              <w:t>投标人投标价</w:t>
            </w:r>
            <w:r>
              <w:rPr>
                <w:rFonts w:ascii="宋体"/>
                <w:color w:val="auto"/>
                <w:highlight w:val="none"/>
              </w:rPr>
              <w:t>-</w:t>
            </w:r>
            <w:r>
              <w:rPr>
                <w:rFonts w:hint="eastAsia" w:ascii="宋体" w:hAnsi="宋体"/>
                <w:color w:val="auto"/>
                <w:highlight w:val="none"/>
              </w:rPr>
              <w:t>评标基准价</w:t>
            </w:r>
            <w:r>
              <w:rPr>
                <w:rFonts w:ascii="宋体" w:hAnsi="宋体"/>
                <w:color w:val="auto"/>
                <w:highlight w:val="none"/>
              </w:rPr>
              <w:t>)/</w:t>
            </w:r>
            <w:r>
              <w:rPr>
                <w:rFonts w:hint="eastAsia" w:ascii="宋体" w:hAnsi="宋体"/>
                <w:color w:val="auto"/>
                <w:highlight w:val="none"/>
              </w:rPr>
              <w:t>评标基准价×</w:t>
            </w:r>
            <w:r>
              <w:rPr>
                <w:rFonts w:ascii="宋体" w:hAnsi="宋体"/>
                <w:color w:val="auto"/>
                <w:highlight w:val="none"/>
              </w:rPr>
              <w:t>100</w:t>
            </w:r>
            <w:r>
              <w:rPr>
                <w:rFonts w:hint="eastAsia" w:ascii="宋体" w:hAnsi="宋体"/>
                <w:color w:val="auto"/>
                <w:highlight w:val="none"/>
              </w:rPr>
              <w:t>×</w:t>
            </w:r>
            <w:r>
              <w:rPr>
                <w:rFonts w:ascii="宋体" w:hAnsi="宋体"/>
                <w:color w:val="auto"/>
                <w:highlight w:val="none"/>
              </w:rPr>
              <w:t>E2</w:t>
            </w:r>
          </w:p>
          <w:p w14:paraId="61D875B2">
            <w:pPr>
              <w:autoSpaceDE w:val="0"/>
              <w:autoSpaceDN w:val="0"/>
              <w:adjustRightInd w:val="0"/>
              <w:snapToGrid w:val="0"/>
              <w:spacing w:line="340" w:lineRule="exact"/>
              <w:jc w:val="left"/>
              <w:rPr>
                <w:rFonts w:ascii="宋体" w:cs="宋体"/>
                <w:color w:val="auto"/>
                <w:kern w:val="0"/>
                <w:highlight w:val="none"/>
              </w:rPr>
            </w:pPr>
            <w:r>
              <w:rPr>
                <w:rFonts w:hint="eastAsia" w:ascii="宋体" w:hAnsi="宋体"/>
                <w:color w:val="auto"/>
                <w:highlight w:val="none"/>
              </w:rPr>
              <w:t>其中，</w:t>
            </w:r>
            <w:r>
              <w:rPr>
                <w:rFonts w:ascii="宋体" w:hAnsi="宋体"/>
                <w:color w:val="auto"/>
                <w:highlight w:val="none"/>
              </w:rPr>
              <w:t>F=</w:t>
            </w:r>
            <w:r>
              <w:rPr>
                <w:rFonts w:hint="eastAsia" w:ascii="宋体" w:hAnsi="宋体"/>
                <w:color w:val="auto"/>
                <w:highlight w:val="none"/>
                <w:lang w:val="en-US" w:eastAsia="zh-CN"/>
              </w:rPr>
              <w:t>5</w:t>
            </w:r>
            <w:r>
              <w:rPr>
                <w:rFonts w:ascii="宋体" w:hAnsi="宋体"/>
                <w:color w:val="auto"/>
                <w:highlight w:val="none"/>
              </w:rPr>
              <w:t>0</w:t>
            </w:r>
            <w:r>
              <w:rPr>
                <w:rFonts w:hint="eastAsia" w:ascii="宋体" w:hAnsi="宋体"/>
                <w:color w:val="auto"/>
                <w:highlight w:val="none"/>
              </w:rPr>
              <w:t>；</w:t>
            </w:r>
            <w:r>
              <w:rPr>
                <w:rFonts w:ascii="宋体" w:hAnsi="宋体"/>
                <w:color w:val="auto"/>
                <w:highlight w:val="none"/>
              </w:rPr>
              <w:t>E1=</w:t>
            </w:r>
            <w:r>
              <w:rPr>
                <w:rFonts w:hint="eastAsia" w:ascii="宋体" w:hAnsi="宋体"/>
                <w:color w:val="auto"/>
                <w:highlight w:val="none"/>
              </w:rPr>
              <w:t>0.</w:t>
            </w:r>
            <w:r>
              <w:rPr>
                <w:rFonts w:hint="eastAsia" w:ascii="宋体" w:hAnsi="宋体"/>
                <w:color w:val="auto"/>
                <w:highlight w:val="none"/>
                <w:lang w:val="en-US" w:eastAsia="zh-CN"/>
              </w:rPr>
              <w:t>4</w:t>
            </w:r>
            <w:r>
              <w:rPr>
                <w:rFonts w:hint="eastAsia" w:ascii="宋体" w:hAnsi="宋体"/>
                <w:color w:val="auto"/>
                <w:highlight w:val="none"/>
              </w:rPr>
              <w:t>；</w:t>
            </w:r>
            <w:r>
              <w:rPr>
                <w:rFonts w:ascii="宋体" w:hAnsi="宋体"/>
                <w:color w:val="auto"/>
                <w:highlight w:val="none"/>
              </w:rPr>
              <w:t>E2=</w:t>
            </w:r>
            <w:r>
              <w:rPr>
                <w:rFonts w:hint="eastAsia" w:ascii="宋体" w:hAnsi="宋体"/>
                <w:color w:val="auto"/>
                <w:highlight w:val="none"/>
              </w:rPr>
              <w:t>0.</w:t>
            </w:r>
            <w:r>
              <w:rPr>
                <w:rFonts w:hint="eastAsia" w:ascii="宋体" w:hAnsi="宋体"/>
                <w:color w:val="auto"/>
                <w:highlight w:val="none"/>
                <w:lang w:val="en-US" w:eastAsia="zh-CN"/>
              </w:rPr>
              <w:t>2</w:t>
            </w:r>
            <w:r>
              <w:rPr>
                <w:rFonts w:hint="eastAsia" w:ascii="宋体" w:hAnsi="宋体"/>
                <w:color w:val="auto"/>
                <w:highlight w:val="none"/>
              </w:rPr>
              <w:t>；投标价最低得分为</w:t>
            </w:r>
            <w:r>
              <w:rPr>
                <w:rFonts w:ascii="宋体"/>
                <w:color w:val="auto"/>
                <w:highlight w:val="none"/>
              </w:rPr>
              <w:t>0</w:t>
            </w:r>
            <w:r>
              <w:rPr>
                <w:rFonts w:hint="eastAsia" w:ascii="宋体" w:hAnsi="宋体"/>
                <w:color w:val="auto"/>
                <w:highlight w:val="none"/>
              </w:rPr>
              <w:t>分</w:t>
            </w:r>
          </w:p>
        </w:tc>
      </w:tr>
    </w:tbl>
    <w:p w14:paraId="13D51768">
      <w:pPr>
        <w:pStyle w:val="7"/>
        <w:rPr>
          <w:rFonts w:hAnsi="宋体"/>
          <w:color w:val="auto"/>
          <w:highlight w:val="none"/>
        </w:rPr>
      </w:pPr>
      <w:r>
        <w:rPr>
          <w:rFonts w:hint="eastAsia" w:hAnsi="宋体"/>
          <w:color w:val="auto"/>
          <w:highlight w:val="none"/>
        </w:rPr>
        <w:t>注：1</w:t>
      </w:r>
      <w:r>
        <w:rPr>
          <w:rFonts w:hint="eastAsia" w:hAnsi="宋体"/>
          <w:color w:val="auto"/>
          <w:highlight w:val="none"/>
          <w:lang w:val="en-US" w:eastAsia="zh-CN"/>
        </w:rPr>
        <w:t>.</w:t>
      </w:r>
      <w:r>
        <w:rPr>
          <w:rFonts w:hAnsi="宋体"/>
          <w:color w:val="auto"/>
          <w:highlight w:val="none"/>
        </w:rPr>
        <w:t>各评分因素得分应以评标委员会各成员的打分平均值确定</w:t>
      </w:r>
      <w:r>
        <w:rPr>
          <w:rFonts w:hint="eastAsia" w:hAnsi="宋体"/>
          <w:color w:val="auto"/>
          <w:highlight w:val="none"/>
        </w:rPr>
        <w:t>。</w:t>
      </w:r>
    </w:p>
    <w:p w14:paraId="5DB0619E">
      <w:pPr>
        <w:numPr>
          <w:ilvl w:val="0"/>
          <w:numId w:val="0"/>
        </w:numPr>
        <w:autoSpaceDE w:val="0"/>
        <w:autoSpaceDN w:val="0"/>
        <w:adjustRightInd w:val="0"/>
        <w:snapToGrid w:val="0"/>
        <w:spacing w:line="360" w:lineRule="auto"/>
        <w:ind w:firstLine="420" w:firstLineChars="200"/>
        <w:jc w:val="left"/>
        <w:outlineLvl w:val="9"/>
        <w:rPr>
          <w:rFonts w:hint="eastAsia" w:hAnsi="宋体"/>
          <w:color w:val="auto"/>
          <w:highlight w:val="none"/>
        </w:rPr>
      </w:pPr>
      <w:r>
        <w:rPr>
          <w:rFonts w:hint="eastAsia" w:ascii="Times New Roman" w:hAnsi="宋体" w:eastAsia="宋体" w:cs="Times New Roman"/>
          <w:color w:val="auto"/>
          <w:kern w:val="2"/>
          <w:sz w:val="21"/>
          <w:szCs w:val="21"/>
          <w:highlight w:val="none"/>
          <w:lang w:val="en-US" w:eastAsia="zh-CN" w:bidi="ar-SA"/>
        </w:rPr>
        <w:t>2</w:t>
      </w:r>
      <w:r>
        <w:rPr>
          <w:rFonts w:hint="eastAsia" w:hAnsi="宋体"/>
          <w:color w:val="auto"/>
          <w:highlight w:val="none"/>
          <w:lang w:val="en-US" w:eastAsia="zh-CN"/>
        </w:rPr>
        <w:t>.</w:t>
      </w:r>
      <w:r>
        <w:rPr>
          <w:rFonts w:hint="eastAsia" w:hAnsi="宋体"/>
          <w:color w:val="auto"/>
          <w:highlight w:val="none"/>
        </w:rPr>
        <w:t>评分因素所列项目</w:t>
      </w:r>
      <w:r>
        <w:rPr>
          <w:rFonts w:hint="eastAsia" w:hAnsi="宋体"/>
          <w:color w:val="auto"/>
          <w:highlight w:val="none"/>
          <w:lang w:val="en-US" w:eastAsia="zh-CN"/>
        </w:rPr>
        <w:t>细分项</w:t>
      </w:r>
      <w:r>
        <w:rPr>
          <w:rFonts w:hint="eastAsia" w:hAnsi="宋体"/>
          <w:color w:val="auto"/>
          <w:highlight w:val="none"/>
        </w:rPr>
        <w:t>存在缺项的，则该项计0分。</w:t>
      </w:r>
    </w:p>
    <w:p w14:paraId="5F0EDA2D"/>
    <w:p w14:paraId="36861D2F">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75EC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FB5DD">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81FB5DD">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34486">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16796"/>
    <w:rsid w:val="0ECD0571"/>
    <w:rsid w:val="11396325"/>
    <w:rsid w:val="14E0681B"/>
    <w:rsid w:val="1760460B"/>
    <w:rsid w:val="1E4F62D6"/>
    <w:rsid w:val="1F40383D"/>
    <w:rsid w:val="279B48E7"/>
    <w:rsid w:val="2896660E"/>
    <w:rsid w:val="2AE8488E"/>
    <w:rsid w:val="2EDF2AFC"/>
    <w:rsid w:val="33664DBE"/>
    <w:rsid w:val="35A574B6"/>
    <w:rsid w:val="395E67BE"/>
    <w:rsid w:val="39F049E4"/>
    <w:rsid w:val="3ABF5F61"/>
    <w:rsid w:val="42286BD6"/>
    <w:rsid w:val="444E2F6B"/>
    <w:rsid w:val="4A1273D5"/>
    <w:rsid w:val="4B080D08"/>
    <w:rsid w:val="4C01529A"/>
    <w:rsid w:val="4ECD1ABD"/>
    <w:rsid w:val="528205B6"/>
    <w:rsid w:val="54904D90"/>
    <w:rsid w:val="620072A5"/>
    <w:rsid w:val="62816796"/>
    <w:rsid w:val="62A806BA"/>
    <w:rsid w:val="643F511A"/>
    <w:rsid w:val="72663C5F"/>
    <w:rsid w:val="7B804FE0"/>
    <w:rsid w:val="7F846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0"/>
    <w:pPr>
      <w:keepNext/>
      <w:widowControl/>
      <w:spacing w:before="50" w:beforeLines="50" w:after="50" w:afterLines="50" w:line="360" w:lineRule="auto"/>
      <w:jc w:val="center"/>
      <w:outlineLvl w:val="0"/>
    </w:pPr>
    <w:rPr>
      <w:rFonts w:ascii="宋体" w:hAnsi="宋体" w:eastAsia="宋体" w:cs="宋体"/>
      <w:b/>
      <w:bCs/>
      <w:kern w:val="36"/>
      <w:sz w:val="40"/>
      <w:szCs w:val="32"/>
    </w:rPr>
  </w:style>
  <w:style w:type="paragraph" w:styleId="3">
    <w:name w:val="heading 2"/>
    <w:basedOn w:val="1"/>
    <w:next w:val="1"/>
    <w:link w:val="11"/>
    <w:semiHidden/>
    <w:unhideWhenUsed/>
    <w:qFormat/>
    <w:uiPriority w:val="0"/>
    <w:pPr>
      <w:spacing w:line="360" w:lineRule="auto"/>
      <w:ind w:left="0"/>
      <w:jc w:val="center"/>
      <w:outlineLvl w:val="1"/>
    </w:pPr>
    <w:rPr>
      <w:rFonts w:ascii="宋体" w:hAnsi="宋体" w:eastAsia="宋体" w:cs="宋体"/>
      <w:b/>
      <w:sz w:val="32"/>
      <w:szCs w:val="30"/>
      <w:lang w:eastAsia="en-US"/>
    </w:rPr>
  </w:style>
  <w:style w:type="paragraph" w:styleId="4">
    <w:name w:val="heading 3"/>
    <w:basedOn w:val="1"/>
    <w:next w:val="1"/>
    <w:link w:val="13"/>
    <w:semiHidden/>
    <w:unhideWhenUsed/>
    <w:qFormat/>
    <w:uiPriority w:val="0"/>
    <w:pPr>
      <w:keepNext/>
      <w:widowControl/>
      <w:spacing w:line="360" w:lineRule="auto"/>
      <w:ind w:left="0"/>
      <w:jc w:val="left"/>
      <w:outlineLvl w:val="2"/>
    </w:pPr>
    <w:rPr>
      <w:rFonts w:ascii="宋体" w:hAnsi="宋体" w:eastAsia="宋体" w:cs="宋体"/>
      <w:b/>
      <w:bCs/>
      <w:sz w:val="24"/>
      <w:szCs w:val="24"/>
      <w:lang w:eastAsia="en-US"/>
    </w:rPr>
  </w:style>
  <w:style w:type="paragraph" w:styleId="5">
    <w:name w:val="heading 4"/>
    <w:basedOn w:val="1"/>
    <w:next w:val="1"/>
    <w:link w:val="14"/>
    <w:semiHidden/>
    <w:unhideWhenUsed/>
    <w:qFormat/>
    <w:uiPriority w:val="0"/>
    <w:pPr>
      <w:ind w:left="237"/>
      <w:outlineLvl w:val="3"/>
    </w:pPr>
    <w:rPr>
      <w:rFonts w:ascii="宋体" w:hAnsi="宋体" w:eastAsia="宋体" w:cs="Times New Roman"/>
      <w:b/>
      <w:sz w:val="28"/>
      <w:szCs w:val="28"/>
      <w:lang w:eastAsia="en-US"/>
    </w:rPr>
  </w:style>
  <w:style w:type="paragraph" w:styleId="6">
    <w:name w:val="heading 5"/>
    <w:basedOn w:val="1"/>
    <w:next w:val="1"/>
    <w:semiHidden/>
    <w:unhideWhenUsed/>
    <w:qFormat/>
    <w:uiPriority w:val="0"/>
    <w:pPr>
      <w:keepNext/>
      <w:keepLines/>
      <w:spacing w:beforeLines="0" w:beforeAutospacing="0" w:afterLines="0" w:afterAutospacing="0" w:line="360" w:lineRule="auto"/>
      <w:outlineLvl w:val="4"/>
    </w:pPr>
    <w:rPr>
      <w:rFonts w:ascii="宋体" w:hAnsi="宋体" w:cs="宋体" w:eastAsiaTheme="minorEastAsia"/>
      <w:b/>
      <w:sz w:val="24"/>
      <w:szCs w:val="24"/>
      <w:lang w:eastAsia="en-US"/>
    </w:rPr>
  </w:style>
  <w:style w:type="character" w:default="1" w:styleId="10">
    <w:name w:val="Default Paragraph Font"/>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7">
    <w:name w:val="Plain Text"/>
    <w:basedOn w:val="1"/>
    <w:qFormat/>
    <w:uiPriority w:val="99"/>
    <w:rPr>
      <w:rFonts w:ascii="宋体" w:hAnsi="Courier New"/>
      <w:szCs w:val="20"/>
    </w:rPr>
  </w:style>
  <w:style w:type="paragraph" w:styleId="8">
    <w:name w:val="footer"/>
    <w:basedOn w:val="1"/>
    <w:qFormat/>
    <w:uiPriority w:val="99"/>
    <w:pPr>
      <w:tabs>
        <w:tab w:val="center" w:pos="4153"/>
        <w:tab w:val="right" w:pos="8306"/>
      </w:tabs>
      <w:snapToGrid w:val="0"/>
      <w:jc w:val="left"/>
    </w:pPr>
    <w:rPr>
      <w:sz w:val="18"/>
      <w:szCs w:val="20"/>
    </w:rPr>
  </w:style>
  <w:style w:type="character" w:customStyle="1" w:styleId="11">
    <w:name w:val="标题 2 Char"/>
    <w:basedOn w:val="10"/>
    <w:link w:val="3"/>
    <w:qFormat/>
    <w:uiPriority w:val="9"/>
    <w:rPr>
      <w:rFonts w:ascii="宋体" w:hAnsi="宋体" w:eastAsia="宋体" w:cs="宋体"/>
      <w:b/>
      <w:bCs/>
      <w:sz w:val="24"/>
      <w:szCs w:val="24"/>
      <w:lang w:eastAsia="en-US"/>
    </w:rPr>
  </w:style>
  <w:style w:type="character" w:customStyle="1" w:styleId="12">
    <w:name w:val="标题 1 Char"/>
    <w:basedOn w:val="10"/>
    <w:link w:val="2"/>
    <w:qFormat/>
    <w:uiPriority w:val="9"/>
    <w:rPr>
      <w:rFonts w:ascii="宋体" w:hAnsi="宋体" w:eastAsia="宋体" w:cs="宋体"/>
      <w:b/>
      <w:bCs/>
      <w:kern w:val="36"/>
      <w:sz w:val="40"/>
      <w:szCs w:val="32"/>
      <w:lang w:eastAsia="en-US"/>
    </w:rPr>
  </w:style>
  <w:style w:type="character" w:customStyle="1" w:styleId="13">
    <w:name w:val="标题 3 Char"/>
    <w:basedOn w:val="10"/>
    <w:link w:val="4"/>
    <w:qFormat/>
    <w:uiPriority w:val="9"/>
    <w:rPr>
      <w:rFonts w:ascii="宋体" w:hAnsi="宋体" w:eastAsia="宋体" w:cs="宋体"/>
      <w:b/>
      <w:bCs/>
      <w:kern w:val="0"/>
      <w:sz w:val="24"/>
      <w:szCs w:val="24"/>
      <w:lang w:eastAsia="en-US"/>
    </w:rPr>
  </w:style>
  <w:style w:type="character" w:customStyle="1" w:styleId="14">
    <w:name w:val="标题 4 字符"/>
    <w:link w:val="5"/>
    <w:qFormat/>
    <w:uiPriority w:val="0"/>
    <w:rPr>
      <w:rFonts w:ascii="宋体" w:hAnsi="宋体" w:eastAsia="宋体" w:cs="Times New Roman"/>
      <w:b/>
      <w:sz w:val="28"/>
      <w:szCs w:val="28"/>
      <w:lang w:eastAsia="en-US"/>
    </w:rPr>
  </w:style>
  <w:style w:type="paragraph" w:customStyle="1" w:styleId="15">
    <w:name w:val="方案正文"/>
    <w:basedOn w:val="1"/>
    <w:qFormat/>
    <w:uiPriority w:val="0"/>
    <w:pPr>
      <w:spacing w:line="560" w:lineRule="exact"/>
      <w:ind w:firstLine="200" w:firstLineChars="200"/>
    </w:pPr>
    <w:rPr>
      <w:rFonts w:eastAsia="仿宋_GB2312" w:cs="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2026-05-19T09:37:00Z</dcterms:created>
  <dc:creator>张宁</dc:creator>
  <cp:lastModifiedBy>张宁</cp:lastModifiedBy>
  <dcterms:modified xsi:type="dcterms:W3CDTF">2026-05-19T09:37:30Z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0CB5A99196D348D8A577CB82F8E5B9AE_11</vt:lpwstr>
  </property>
  <property fmtid="{D5CDD505-2E9C-101B-9397-08002B2CF9AE}" pid="4" name="KSOTemplateDocerSaveRecord">
    <vt:lpwstr>eyJoZGlkIjoiNGFjNGU5MGM1NzNmMGRmMGE0N2VjNjk3NDcyNTAwODYiLCJ1c2VySWQiOiIxNjgyOTM3NTgwIn0=</vt:lpwstr>
  </property>
</Properties>
</file>