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87571">
      <w:pPr>
        <w:snapToGrid w:val="0"/>
        <w:spacing w:line="360" w:lineRule="auto"/>
        <w:textAlignment w:val="baseline"/>
        <w:outlineLvl w:val="2"/>
        <w:rPr>
          <w:b/>
          <w:bCs/>
          <w:sz w:val="24"/>
          <w:szCs w:val="24"/>
          <w:highlight w:val="none"/>
          <w:lang w:eastAsia="zh-CN"/>
        </w:rPr>
      </w:pPr>
      <w:bookmarkStart w:id="0" w:name="_Toc717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7A8E8DFA">
      <w:pPr>
        <w:jc w:val="center"/>
        <w:rPr>
          <w:rFonts w:hint="eastAsia" w:ascii="宋体" w:hAnsi="宋体"/>
          <w:b/>
          <w:sz w:val="24"/>
          <w:szCs w:val="24"/>
          <w:highlight w:val="none"/>
          <w:lang w:eastAsia="zh-CN"/>
        </w:rPr>
      </w:pPr>
    </w:p>
    <w:p w14:paraId="24C1D165">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88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174BB81">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36A7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6884B2D1">
            <w:pPr>
              <w:snapToGrid w:val="0"/>
              <w:spacing w:line="360" w:lineRule="exact"/>
              <w:ind w:firstLine="420" w:firstLineChars="200"/>
              <w:rPr>
                <w:rFonts w:hint="eastAsia" w:ascii="宋体" w:hAnsi="宋体"/>
                <w:sz w:val="21"/>
                <w:szCs w:val="24"/>
                <w:highlight w:val="none"/>
                <w:lang w:eastAsia="zh-CN"/>
              </w:rPr>
            </w:pPr>
            <w:r>
              <w:rPr>
                <w:rFonts w:hint="eastAsia" w:ascii="宋体" w:hAnsi="宋体"/>
                <w:sz w:val="21"/>
                <w:szCs w:val="24"/>
                <w:highlight w:val="none"/>
                <w:lang w:eastAsia="zh-CN"/>
              </w:rPr>
              <w:t>投标人应是中华人民共和国境内的法人或其他组织，持有有效的营业执照；</w:t>
            </w:r>
          </w:p>
        </w:tc>
      </w:tr>
    </w:tbl>
    <w:p w14:paraId="58AFDDE9">
      <w:pPr>
        <w:snapToGrid w:val="0"/>
        <w:rPr>
          <w:rFonts w:hint="eastAsia" w:ascii="宋体" w:hAnsi="宋体"/>
          <w:sz w:val="24"/>
          <w:szCs w:val="24"/>
          <w:highlight w:val="none"/>
          <w:lang w:eastAsia="zh-CN"/>
        </w:rPr>
      </w:pPr>
    </w:p>
    <w:p w14:paraId="239114DA">
      <w:pPr>
        <w:pStyle w:val="15"/>
        <w:snapToGrid w:val="0"/>
        <w:spacing w:line="240" w:lineRule="auto"/>
        <w:ind w:firstLine="640"/>
        <w:rPr>
          <w:highlight w:val="none"/>
          <w:lang w:eastAsia="zh-CN"/>
        </w:rPr>
      </w:pPr>
    </w:p>
    <w:p w14:paraId="25A2E291">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B1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7910EDE3">
            <w:pPr>
              <w:jc w:val="center"/>
              <w:rPr>
                <w:rFonts w:hint="eastAsia" w:ascii="宋体" w:hAnsi="宋体"/>
                <w:sz w:val="21"/>
                <w:szCs w:val="21"/>
                <w:highlight w:val="none"/>
              </w:rPr>
            </w:pPr>
            <w:r>
              <w:rPr>
                <w:rFonts w:hint="eastAsia" w:ascii="宋体" w:hAnsi="宋体"/>
                <w:sz w:val="21"/>
                <w:szCs w:val="21"/>
                <w:highlight w:val="none"/>
              </w:rPr>
              <w:t>业绩要求</w:t>
            </w:r>
          </w:p>
        </w:tc>
      </w:tr>
      <w:tr w14:paraId="12DF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3DB3353E">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w:t>
            </w:r>
            <w:r>
              <w:rPr>
                <w:rFonts w:hint="eastAsia" w:ascii="宋体" w:hAnsi="宋体"/>
                <w:sz w:val="21"/>
                <w:szCs w:val="21"/>
                <w:highlight w:val="none"/>
                <w:lang w:val="en-US" w:eastAsia="zh-CN"/>
              </w:rPr>
              <w:t>5</w:t>
            </w:r>
            <w:r>
              <w:rPr>
                <w:rFonts w:hint="eastAsia" w:ascii="宋体" w:hAnsi="宋体"/>
                <w:sz w:val="21"/>
                <w:szCs w:val="21"/>
                <w:highlight w:val="none"/>
                <w:lang w:eastAsia="zh-CN"/>
              </w:rPr>
              <w:t>年（202</w:t>
            </w:r>
            <w:r>
              <w:rPr>
                <w:rFonts w:hint="eastAsia" w:ascii="宋体" w:hAnsi="宋体"/>
                <w:sz w:val="21"/>
                <w:szCs w:val="21"/>
                <w:highlight w:val="none"/>
                <w:lang w:val="en-US" w:eastAsia="zh-CN"/>
              </w:rPr>
              <w:t>1</w:t>
            </w:r>
            <w:r>
              <w:rPr>
                <w:rFonts w:hint="eastAsia" w:ascii="宋体" w:hAnsi="宋体"/>
                <w:sz w:val="21"/>
                <w:szCs w:val="21"/>
                <w:highlight w:val="none"/>
                <w:lang w:eastAsia="zh-CN"/>
              </w:rPr>
              <w:t>年6月1日至投标截止时间，以合同签订时间为准），至少承担过1项</w:t>
            </w:r>
            <w:r>
              <w:rPr>
                <w:rFonts w:hint="eastAsia" w:ascii="宋体" w:hAnsi="宋体"/>
                <w:sz w:val="21"/>
                <w:szCs w:val="21"/>
                <w:highlight w:val="none"/>
                <w:lang w:val="en-US" w:eastAsia="zh-CN"/>
              </w:rPr>
              <w:t>软件开发项目</w:t>
            </w:r>
            <w:r>
              <w:rPr>
                <w:rFonts w:hint="eastAsia" w:ascii="宋体" w:hAnsi="宋体"/>
                <w:sz w:val="21"/>
                <w:szCs w:val="21"/>
                <w:highlight w:val="none"/>
                <w:lang w:eastAsia="zh-CN"/>
              </w:rPr>
              <w:t>。</w:t>
            </w:r>
          </w:p>
        </w:tc>
      </w:tr>
    </w:tbl>
    <w:p w14:paraId="3E13E8BD">
      <w:pPr>
        <w:snapToGrid w:val="0"/>
        <w:rPr>
          <w:rFonts w:hint="eastAsia" w:ascii="宋体" w:hAnsi="宋体"/>
          <w:sz w:val="24"/>
          <w:szCs w:val="24"/>
          <w:highlight w:val="none"/>
          <w:lang w:eastAsia="zh-CN"/>
        </w:rPr>
      </w:pPr>
    </w:p>
    <w:p w14:paraId="59D74367">
      <w:pPr>
        <w:pStyle w:val="15"/>
        <w:snapToGrid w:val="0"/>
        <w:spacing w:line="240" w:lineRule="auto"/>
        <w:ind w:firstLine="640"/>
        <w:rPr>
          <w:highlight w:val="none"/>
          <w:lang w:eastAsia="zh-CN"/>
        </w:rPr>
      </w:pPr>
    </w:p>
    <w:p w14:paraId="186EF5FA">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A0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330B3371">
            <w:pPr>
              <w:jc w:val="center"/>
              <w:rPr>
                <w:rFonts w:hint="eastAsia" w:ascii="宋体" w:hAnsi="宋体"/>
                <w:sz w:val="21"/>
                <w:szCs w:val="21"/>
                <w:highlight w:val="none"/>
              </w:rPr>
            </w:pPr>
            <w:r>
              <w:rPr>
                <w:rFonts w:hint="eastAsia" w:ascii="宋体" w:hAnsi="宋体"/>
                <w:sz w:val="21"/>
                <w:szCs w:val="21"/>
                <w:highlight w:val="none"/>
              </w:rPr>
              <w:t>信誉要求</w:t>
            </w:r>
          </w:p>
        </w:tc>
      </w:tr>
      <w:tr w14:paraId="0A1B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0974C3AF">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投标人在过去1年中（2025年6月1日至投标截止时间）不曾在</w:t>
            </w:r>
            <w:r>
              <w:rPr>
                <w:rFonts w:hint="eastAsia" w:ascii="宋体" w:hAnsi="宋体"/>
                <w:sz w:val="21"/>
                <w:szCs w:val="21"/>
                <w:highlight w:val="none"/>
                <w:lang w:val="en-US" w:eastAsia="zh-CN"/>
              </w:rPr>
              <w:t>软件开发服务</w:t>
            </w:r>
            <w:r>
              <w:rPr>
                <w:rFonts w:hint="eastAsia" w:ascii="宋体" w:hAnsi="宋体"/>
                <w:sz w:val="21"/>
                <w:szCs w:val="21"/>
                <w:highlight w:val="none"/>
                <w:lang w:eastAsia="zh-CN"/>
              </w:rPr>
              <w:t>合同中违约而被逐或因投标人自身的原因而使合同被解除。</w:t>
            </w:r>
          </w:p>
        </w:tc>
      </w:tr>
    </w:tbl>
    <w:p w14:paraId="4AD48E7C">
      <w:pPr>
        <w:snapToGrid w:val="0"/>
        <w:rPr>
          <w:rFonts w:hint="eastAsia" w:ascii="宋体" w:hAnsi="宋体"/>
          <w:sz w:val="24"/>
          <w:szCs w:val="24"/>
          <w:highlight w:val="none"/>
          <w:lang w:eastAsia="zh-CN"/>
        </w:rPr>
      </w:pPr>
    </w:p>
    <w:p w14:paraId="2F89F8FF">
      <w:pPr>
        <w:pStyle w:val="15"/>
        <w:snapToGrid w:val="0"/>
        <w:spacing w:line="240" w:lineRule="auto"/>
        <w:ind w:firstLine="640"/>
        <w:rPr>
          <w:highlight w:val="none"/>
          <w:lang w:eastAsia="zh-CN"/>
        </w:rPr>
      </w:pPr>
    </w:p>
    <w:p w14:paraId="5A4A09D8">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附录4资格审查条件（</w:t>
      </w:r>
      <w:r>
        <w:rPr>
          <w:rFonts w:hint="eastAsia" w:ascii="宋体" w:hAnsi="宋体" w:cs="Arial"/>
          <w:b/>
          <w:bCs/>
          <w:spacing w:val="15"/>
          <w:sz w:val="24"/>
          <w:highlight w:val="none"/>
          <w:lang w:eastAsia="zh-CN"/>
        </w:rPr>
        <w:t>项目负责人</w:t>
      </w:r>
      <w:r>
        <w:rPr>
          <w:rFonts w:hint="eastAsia" w:ascii="宋体" w:hAnsi="宋体"/>
          <w:b/>
          <w:sz w:val="24"/>
          <w:szCs w:val="24"/>
          <w:highlight w:val="none"/>
          <w:lang w:eastAsia="zh-CN"/>
        </w:rPr>
        <w:t>最低要求）</w:t>
      </w:r>
    </w:p>
    <w:tbl>
      <w:tblPr>
        <w:tblStyle w:val="9"/>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4CAE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7FA321A4">
            <w:pPr>
              <w:jc w:val="center"/>
              <w:rPr>
                <w:rFonts w:hint="eastAsia" w:ascii="宋体" w:hAnsi="宋体"/>
                <w:sz w:val="21"/>
                <w:szCs w:val="21"/>
                <w:highlight w:val="none"/>
              </w:rPr>
            </w:pPr>
            <w:r>
              <w:rPr>
                <w:rFonts w:hint="eastAsia" w:ascii="宋体" w:hAnsi="宋体"/>
                <w:sz w:val="21"/>
                <w:szCs w:val="21"/>
                <w:highlight w:val="none"/>
              </w:rPr>
              <w:t>人员</w:t>
            </w:r>
          </w:p>
        </w:tc>
        <w:tc>
          <w:tcPr>
            <w:tcW w:w="810" w:type="dxa"/>
            <w:vAlign w:val="center"/>
          </w:tcPr>
          <w:p w14:paraId="5276A356">
            <w:pPr>
              <w:jc w:val="center"/>
              <w:rPr>
                <w:rFonts w:hint="eastAsia" w:ascii="宋体" w:hAnsi="宋体"/>
                <w:sz w:val="21"/>
                <w:szCs w:val="21"/>
                <w:highlight w:val="none"/>
              </w:rPr>
            </w:pPr>
            <w:r>
              <w:rPr>
                <w:rFonts w:hint="eastAsia" w:ascii="宋体" w:hAnsi="宋体"/>
                <w:sz w:val="21"/>
                <w:szCs w:val="21"/>
                <w:highlight w:val="none"/>
              </w:rPr>
              <w:t>数量</w:t>
            </w:r>
          </w:p>
        </w:tc>
        <w:tc>
          <w:tcPr>
            <w:tcW w:w="6521" w:type="dxa"/>
            <w:vAlign w:val="center"/>
          </w:tcPr>
          <w:p w14:paraId="5903040D">
            <w:pPr>
              <w:jc w:val="center"/>
              <w:rPr>
                <w:rFonts w:hint="eastAsia" w:ascii="宋体" w:hAnsi="宋体"/>
                <w:sz w:val="21"/>
                <w:szCs w:val="21"/>
                <w:highlight w:val="none"/>
              </w:rPr>
            </w:pPr>
            <w:r>
              <w:rPr>
                <w:rFonts w:hint="eastAsia" w:ascii="宋体" w:hAnsi="宋体"/>
                <w:sz w:val="21"/>
                <w:szCs w:val="21"/>
                <w:highlight w:val="none"/>
              </w:rPr>
              <w:t>资格要求</w:t>
            </w:r>
          </w:p>
        </w:tc>
      </w:tr>
      <w:tr w14:paraId="5BED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40" w:type="dxa"/>
            <w:vAlign w:val="center"/>
          </w:tcPr>
          <w:p w14:paraId="3BF41D48">
            <w:pPr>
              <w:jc w:val="center"/>
              <w:rPr>
                <w:rFonts w:hint="eastAsia" w:ascii="宋体" w:hAnsi="宋体"/>
                <w:sz w:val="21"/>
                <w:szCs w:val="21"/>
                <w:highlight w:val="none"/>
                <w:lang w:eastAsia="zh-CN"/>
              </w:rPr>
            </w:pPr>
            <w:r>
              <w:rPr>
                <w:rFonts w:hint="eastAsia" w:ascii="宋体" w:hAnsi="宋体"/>
                <w:sz w:val="21"/>
                <w:szCs w:val="21"/>
                <w:highlight w:val="none"/>
                <w:lang w:eastAsia="zh-CN"/>
              </w:rPr>
              <w:t>项目负责人</w:t>
            </w:r>
          </w:p>
        </w:tc>
        <w:tc>
          <w:tcPr>
            <w:tcW w:w="810" w:type="dxa"/>
            <w:vAlign w:val="center"/>
          </w:tcPr>
          <w:p w14:paraId="3E48C1DF">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6521" w:type="dxa"/>
            <w:vAlign w:val="center"/>
          </w:tcPr>
          <w:p w14:paraId="57531CBC">
            <w:pPr>
              <w:rPr>
                <w:rFonts w:hint="default"/>
                <w:sz w:val="21"/>
                <w:szCs w:val="21"/>
                <w:highlight w:val="none"/>
                <w:lang w:val="en-US" w:eastAsia="zh-CN"/>
              </w:rPr>
            </w:pPr>
            <w:r>
              <w:rPr>
                <w:rFonts w:hint="eastAsia"/>
                <w:sz w:val="21"/>
                <w:szCs w:val="21"/>
                <w:highlight w:val="none"/>
                <w:lang w:eastAsia="zh-CN"/>
              </w:rPr>
              <w:t>近</w:t>
            </w:r>
            <w:r>
              <w:rPr>
                <w:rFonts w:hint="eastAsia"/>
                <w:sz w:val="21"/>
                <w:szCs w:val="21"/>
                <w:highlight w:val="none"/>
                <w:lang w:val="en-US" w:eastAsia="zh-CN"/>
              </w:rPr>
              <w:t>5</w:t>
            </w:r>
            <w:r>
              <w:rPr>
                <w:rFonts w:hint="eastAsia"/>
                <w:sz w:val="21"/>
                <w:szCs w:val="21"/>
                <w:highlight w:val="none"/>
                <w:lang w:eastAsia="zh-CN"/>
              </w:rPr>
              <w:t>年（202</w:t>
            </w:r>
            <w:r>
              <w:rPr>
                <w:rFonts w:hint="eastAsia"/>
                <w:sz w:val="21"/>
                <w:szCs w:val="21"/>
                <w:highlight w:val="none"/>
                <w:lang w:val="en-US" w:eastAsia="zh-CN"/>
              </w:rPr>
              <w:t>1</w:t>
            </w:r>
            <w:r>
              <w:rPr>
                <w:rFonts w:hint="eastAsia"/>
                <w:sz w:val="21"/>
                <w:szCs w:val="21"/>
                <w:highlight w:val="none"/>
                <w:lang w:eastAsia="zh-CN"/>
              </w:rPr>
              <w:t>年6月1日至投标截止时间，以合同签订时间为准），至少</w:t>
            </w:r>
            <w:r>
              <w:rPr>
                <w:rFonts w:hint="eastAsia"/>
                <w:sz w:val="21"/>
                <w:szCs w:val="21"/>
                <w:highlight w:val="none"/>
                <w:lang w:val="en-US" w:eastAsia="zh-CN"/>
              </w:rPr>
              <w:t>担任</w:t>
            </w:r>
            <w:r>
              <w:rPr>
                <w:rFonts w:hint="eastAsia"/>
                <w:sz w:val="21"/>
                <w:szCs w:val="21"/>
                <w:highlight w:val="none"/>
                <w:lang w:eastAsia="zh-CN"/>
              </w:rPr>
              <w:t>过1项</w:t>
            </w:r>
            <w:r>
              <w:rPr>
                <w:rFonts w:hint="eastAsia" w:ascii="宋体" w:hAnsi="宋体"/>
                <w:sz w:val="21"/>
                <w:szCs w:val="21"/>
                <w:highlight w:val="none"/>
                <w:lang w:val="en-US" w:eastAsia="zh-CN"/>
              </w:rPr>
              <w:t>软件开发</w:t>
            </w:r>
            <w:r>
              <w:rPr>
                <w:rFonts w:hint="eastAsia"/>
                <w:sz w:val="21"/>
                <w:szCs w:val="21"/>
                <w:highlight w:val="none"/>
                <w:lang w:val="en-US" w:eastAsia="zh-CN"/>
              </w:rPr>
              <w:t>项目的项目负责人。</w:t>
            </w:r>
          </w:p>
        </w:tc>
      </w:tr>
    </w:tbl>
    <w:p w14:paraId="384702AA">
      <w:pPr>
        <w:bidi w:val="0"/>
        <w:rPr>
          <w:highlight w:val="none"/>
          <w:lang w:eastAsia="zh-CN"/>
        </w:rPr>
      </w:pPr>
    </w:p>
    <w:p w14:paraId="7CAD792A">
      <w:pPr>
        <w:pStyle w:val="15"/>
        <w:snapToGrid w:val="0"/>
        <w:spacing w:line="240" w:lineRule="auto"/>
        <w:ind w:firstLine="640"/>
        <w:rPr>
          <w:highlight w:val="none"/>
          <w:lang w:eastAsia="zh-CN"/>
        </w:rPr>
      </w:pPr>
    </w:p>
    <w:p w14:paraId="2A38C53E">
      <w:pPr>
        <w:bidi w:val="0"/>
        <w:rPr>
          <w:highlight w:val="none"/>
          <w:lang w:eastAsia="zh-CN"/>
        </w:rPr>
      </w:pPr>
    </w:p>
    <w:p w14:paraId="447517F6">
      <w:pPr>
        <w:pStyle w:val="4"/>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247" w:right="1247" w:bottom="1247" w:left="1247" w:header="851" w:footer="992" w:gutter="0"/>
          <w:pgNumType w:fmt="decimal"/>
          <w:cols w:space="0" w:num="1"/>
          <w:rtlGutter w:val="0"/>
          <w:docGrid w:type="lines" w:linePitch="312" w:charSpace="0"/>
        </w:sectPr>
      </w:pPr>
      <w:r>
        <w:rPr>
          <w:rFonts w:ascii="黑体" w:eastAsia="黑体"/>
          <w:spacing w:val="-8"/>
          <w:highlight w:val="none"/>
          <w:lang w:eastAsia="zh-CN"/>
        </w:rPr>
        <w:br w:type="page"/>
      </w:r>
      <w:bookmarkStart w:id="1" w:name="_Toc24234"/>
    </w:p>
    <w:bookmarkEnd w:id="1"/>
    <w:p w14:paraId="61F147C2">
      <w:pPr>
        <w:pStyle w:val="4"/>
        <w:snapToGrid w:val="0"/>
        <w:spacing w:before="156" w:beforeLines="50" w:after="156" w:afterLines="50" w:line="240" w:lineRule="auto"/>
        <w:ind w:left="138"/>
        <w:rPr>
          <w:rFonts w:hint="eastAsia"/>
          <w:highlight w:val="none"/>
          <w:lang w:eastAsia="zh-CN"/>
        </w:rPr>
      </w:pPr>
      <w:r>
        <w:rPr>
          <w:rFonts w:hint="eastAsia"/>
          <w:spacing w:val="-6"/>
          <w:highlight w:val="none"/>
          <w:lang w:eastAsia="zh-CN"/>
        </w:rPr>
        <w:t>附件2：评标办法</w:t>
      </w:r>
    </w:p>
    <w:p w14:paraId="1689EFE9">
      <w:pPr>
        <w:pStyle w:val="3"/>
        <w:snapToGrid w:val="0"/>
        <w:spacing w:before="0" w:after="0" w:line="360" w:lineRule="auto"/>
        <w:jc w:val="both"/>
        <w:rPr>
          <w:rFonts w:hint="eastAsia" w:ascii="黑体" w:hAnsi="黑体" w:cs="黑体"/>
          <w:sz w:val="24"/>
          <w:szCs w:val="24"/>
          <w:highlight w:val="none"/>
        </w:rPr>
      </w:pPr>
      <w:r>
        <w:rPr>
          <w:rFonts w:hint="eastAsia" w:ascii="黑体" w:hAnsi="黑体" w:cs="黑体"/>
          <w:spacing w:val="2"/>
          <w:kern w:val="0"/>
          <w:sz w:val="24"/>
          <w:szCs w:val="24"/>
          <w:highlight w:val="none"/>
        </w:rPr>
        <w:t>评标</w:t>
      </w:r>
      <w:r>
        <w:rPr>
          <w:rFonts w:hint="eastAsia" w:ascii="黑体" w:hAnsi="黑体" w:cs="黑体"/>
          <w:kern w:val="0"/>
          <w:sz w:val="24"/>
          <w:szCs w:val="24"/>
          <w:highlight w:val="none"/>
        </w:rPr>
        <w:t>办法前附表</w:t>
      </w:r>
    </w:p>
    <w:tbl>
      <w:tblPr>
        <w:tblStyle w:val="17"/>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575"/>
        <w:gridCol w:w="6310"/>
      </w:tblGrid>
      <w:tr w14:paraId="2635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409CA48F">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条款号</w:t>
            </w:r>
          </w:p>
        </w:tc>
        <w:tc>
          <w:tcPr>
            <w:tcW w:w="1575" w:type="dxa"/>
            <w:vAlign w:val="center"/>
          </w:tcPr>
          <w:p w14:paraId="76A6ADBA">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评审因素</w:t>
            </w:r>
          </w:p>
        </w:tc>
        <w:tc>
          <w:tcPr>
            <w:tcW w:w="6310" w:type="dxa"/>
            <w:vAlign w:val="center"/>
          </w:tcPr>
          <w:p w14:paraId="726F1CC9">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评审标准</w:t>
            </w:r>
          </w:p>
        </w:tc>
      </w:tr>
      <w:tr w14:paraId="17163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7CA97541">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975" w:type="dxa"/>
            <w:vAlign w:val="center"/>
          </w:tcPr>
          <w:p w14:paraId="5CD20F43">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评标方法</w:t>
            </w:r>
          </w:p>
        </w:tc>
        <w:tc>
          <w:tcPr>
            <w:tcW w:w="1575" w:type="dxa"/>
            <w:vAlign w:val="center"/>
          </w:tcPr>
          <w:p w14:paraId="33CB6B74">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中标候选人排序方法</w:t>
            </w:r>
          </w:p>
        </w:tc>
        <w:tc>
          <w:tcPr>
            <w:tcW w:w="6310" w:type="dxa"/>
            <w:vAlign w:val="center"/>
          </w:tcPr>
          <w:p w14:paraId="737ACDA0">
            <w:pPr>
              <w:pStyle w:val="16"/>
              <w:snapToGrid w:val="0"/>
              <w:spacing w:line="300" w:lineRule="exact"/>
              <w:ind w:firstLine="404" w:firstLineChars="200"/>
              <w:rPr>
                <w:rFonts w:hint="eastAsia" w:ascii="宋体" w:hAnsi="宋体" w:cs="宋体"/>
                <w:spacing w:val="-1"/>
                <w:sz w:val="21"/>
                <w:szCs w:val="21"/>
                <w:highlight w:val="none"/>
              </w:rPr>
            </w:pPr>
            <w:r>
              <w:rPr>
                <w:rFonts w:ascii="宋体" w:hAnsi="宋体"/>
                <w:spacing w:val="-4"/>
                <w:sz w:val="21"/>
                <w:szCs w:val="21"/>
                <w:highlight w:val="none"/>
              </w:rPr>
              <w:t>本次评标采用综合评估法，</w:t>
            </w:r>
            <w:r>
              <w:rPr>
                <w:rFonts w:hint="eastAsia" w:ascii="宋体" w:hAnsi="宋体" w:cs="宋体"/>
                <w:sz w:val="21"/>
                <w:szCs w:val="21"/>
                <w:highlight w:val="none"/>
              </w:rPr>
              <w:t>评标委员会对满足招标文件实质性要求的投标文件，按照本章第2.2款规定的评分标准进行打分，并按照综合得分由高到低的顺序推荐1-3名中标候选人并标明排序。</w:t>
            </w:r>
          </w:p>
          <w:p w14:paraId="3204137A">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综合评分相等时，评标委员会依次按照以下优先顺序推荐中标候选人：</w:t>
            </w:r>
          </w:p>
          <w:p w14:paraId="3303AB31">
            <w:pPr>
              <w:pStyle w:val="16"/>
              <w:snapToGrid w:val="0"/>
              <w:spacing w:line="300" w:lineRule="exact"/>
              <w:rPr>
                <w:rFonts w:hint="eastAsia" w:ascii="宋体" w:hAnsi="宋体"/>
                <w:spacing w:val="-4"/>
                <w:sz w:val="21"/>
                <w:szCs w:val="21"/>
                <w:highlight w:val="none"/>
              </w:rPr>
            </w:pPr>
            <w:r>
              <w:rPr>
                <w:rFonts w:ascii="宋体" w:hAnsi="宋体"/>
                <w:spacing w:val="-4"/>
                <w:sz w:val="21"/>
                <w:szCs w:val="21"/>
                <w:highlight w:val="none"/>
              </w:rPr>
              <w:t>（1）评标价低的投标人优先；</w:t>
            </w:r>
          </w:p>
          <w:p w14:paraId="0AB1D38B">
            <w:pPr>
              <w:pStyle w:val="16"/>
              <w:snapToGrid w:val="0"/>
              <w:spacing w:line="300" w:lineRule="exact"/>
              <w:rPr>
                <w:rFonts w:hint="eastAsia" w:ascii="宋体" w:hAnsi="宋体"/>
                <w:spacing w:val="-4"/>
                <w:sz w:val="21"/>
                <w:szCs w:val="21"/>
                <w:highlight w:val="none"/>
              </w:rPr>
            </w:pPr>
            <w:r>
              <w:rPr>
                <w:rFonts w:ascii="宋体" w:hAnsi="宋体"/>
                <w:spacing w:val="-4"/>
                <w:sz w:val="21"/>
                <w:szCs w:val="21"/>
                <w:highlight w:val="none"/>
              </w:rPr>
              <w:t>（2）</w:t>
            </w:r>
            <w:r>
              <w:rPr>
                <w:rFonts w:hint="eastAsia" w:ascii="宋体" w:hAnsi="宋体"/>
                <w:spacing w:val="-4"/>
                <w:sz w:val="21"/>
                <w:szCs w:val="21"/>
                <w:highlight w:val="none"/>
              </w:rPr>
              <w:t>实施方案</w:t>
            </w:r>
            <w:r>
              <w:rPr>
                <w:rFonts w:ascii="宋体" w:hAnsi="宋体"/>
                <w:spacing w:val="-4"/>
                <w:sz w:val="21"/>
                <w:szCs w:val="21"/>
                <w:highlight w:val="none"/>
              </w:rPr>
              <w:t>得分较高的投标人优先；</w:t>
            </w:r>
          </w:p>
          <w:p w14:paraId="3C600D72">
            <w:pPr>
              <w:pStyle w:val="16"/>
              <w:snapToGrid w:val="0"/>
              <w:spacing w:line="300" w:lineRule="exact"/>
              <w:rPr>
                <w:rFonts w:hint="eastAsia" w:ascii="宋体" w:hAnsi="宋体" w:cs="宋体"/>
                <w:sz w:val="21"/>
                <w:szCs w:val="21"/>
                <w:highlight w:val="none"/>
              </w:rPr>
            </w:pPr>
            <w:r>
              <w:rPr>
                <w:rFonts w:ascii="宋体" w:hAnsi="宋体"/>
                <w:spacing w:val="-4"/>
                <w:sz w:val="21"/>
                <w:szCs w:val="21"/>
                <w:highlight w:val="none"/>
              </w:rPr>
              <w:t>（3）投标人满足资格审查条件(业绩最低条件)要求的业绩</w:t>
            </w:r>
            <w:r>
              <w:rPr>
                <w:rFonts w:hint="eastAsia" w:ascii="宋体" w:hAnsi="宋体"/>
                <w:spacing w:val="-4"/>
                <w:sz w:val="21"/>
                <w:szCs w:val="21"/>
                <w:highlight w:val="none"/>
              </w:rPr>
              <w:t>累计合同总金额较多的优先</w:t>
            </w:r>
            <w:r>
              <w:rPr>
                <w:rFonts w:ascii="宋体" w:hAnsi="宋体"/>
                <w:spacing w:val="-4"/>
                <w:sz w:val="21"/>
                <w:szCs w:val="21"/>
                <w:highlight w:val="none"/>
              </w:rPr>
              <w:t>。</w:t>
            </w:r>
          </w:p>
        </w:tc>
      </w:tr>
      <w:tr w14:paraId="400D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15C41065">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2.1.1</w:t>
            </w:r>
          </w:p>
        </w:tc>
        <w:tc>
          <w:tcPr>
            <w:tcW w:w="975" w:type="dxa"/>
            <w:vMerge w:val="restart"/>
            <w:vAlign w:val="center"/>
          </w:tcPr>
          <w:p w14:paraId="7A069857">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2"/>
                <w:sz w:val="21"/>
                <w:szCs w:val="21"/>
                <w:highlight w:val="none"/>
              </w:rPr>
              <w:t>形式评审</w:t>
            </w:r>
            <w:r>
              <w:rPr>
                <w:rFonts w:hint="eastAsia" w:ascii="宋体" w:hAnsi="宋体" w:cs="宋体"/>
                <w:sz w:val="21"/>
                <w:szCs w:val="21"/>
                <w:highlight w:val="none"/>
              </w:rPr>
              <w:t>标准</w:t>
            </w:r>
          </w:p>
        </w:tc>
        <w:tc>
          <w:tcPr>
            <w:tcW w:w="1575" w:type="dxa"/>
            <w:vAlign w:val="center"/>
          </w:tcPr>
          <w:p w14:paraId="7DE8D849">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投标人名称</w:t>
            </w:r>
          </w:p>
        </w:tc>
        <w:tc>
          <w:tcPr>
            <w:tcW w:w="6310" w:type="dxa"/>
            <w:vAlign w:val="center"/>
          </w:tcPr>
          <w:p w14:paraId="77536569">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与营业执照一致</w:t>
            </w:r>
          </w:p>
        </w:tc>
      </w:tr>
      <w:tr w14:paraId="2B89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730BCEDA">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616CB507">
            <w:pPr>
              <w:snapToGrid w:val="0"/>
              <w:spacing w:line="300" w:lineRule="exact"/>
              <w:jc w:val="center"/>
              <w:rPr>
                <w:rFonts w:hint="eastAsia" w:ascii="宋体" w:hAnsi="宋体" w:cs="宋体"/>
                <w:sz w:val="21"/>
                <w:szCs w:val="21"/>
                <w:highlight w:val="none"/>
              </w:rPr>
            </w:pPr>
          </w:p>
        </w:tc>
        <w:tc>
          <w:tcPr>
            <w:tcW w:w="1575" w:type="dxa"/>
            <w:vAlign w:val="center"/>
          </w:tcPr>
          <w:p w14:paraId="61E88B9C">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投标签字盖章</w:t>
            </w:r>
          </w:p>
        </w:tc>
        <w:tc>
          <w:tcPr>
            <w:tcW w:w="6310" w:type="dxa"/>
            <w:vAlign w:val="center"/>
          </w:tcPr>
          <w:p w14:paraId="6A88F001">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符合</w:t>
            </w:r>
            <w:r>
              <w:rPr>
                <w:rFonts w:hint="eastAsia" w:ascii="宋体" w:hAnsi="宋体" w:cs="宋体"/>
                <w:spacing w:val="-3"/>
                <w:sz w:val="21"/>
                <w:szCs w:val="21"/>
                <w:highlight w:val="none"/>
              </w:rPr>
              <w:t>第二章“</w:t>
            </w:r>
            <w:r>
              <w:rPr>
                <w:rFonts w:hint="eastAsia" w:ascii="宋体" w:hAnsi="宋体" w:cs="宋体"/>
                <w:sz w:val="21"/>
                <w:szCs w:val="21"/>
                <w:highlight w:val="none"/>
              </w:rPr>
              <w:t>投标人须知前附表”第3.7.3项中签字或盖章要求的规定</w:t>
            </w:r>
          </w:p>
        </w:tc>
      </w:tr>
      <w:tr w14:paraId="3F14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0E861D09">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1FB22DA8">
            <w:pPr>
              <w:snapToGrid w:val="0"/>
              <w:spacing w:line="300" w:lineRule="exact"/>
              <w:jc w:val="center"/>
              <w:rPr>
                <w:rFonts w:hint="eastAsia" w:ascii="宋体" w:hAnsi="宋体" w:cs="宋体"/>
                <w:sz w:val="21"/>
                <w:szCs w:val="21"/>
                <w:highlight w:val="none"/>
              </w:rPr>
            </w:pPr>
          </w:p>
        </w:tc>
        <w:tc>
          <w:tcPr>
            <w:tcW w:w="1575" w:type="dxa"/>
            <w:vAlign w:val="center"/>
          </w:tcPr>
          <w:p w14:paraId="411B520E">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投标文件格式</w:t>
            </w:r>
          </w:p>
        </w:tc>
        <w:tc>
          <w:tcPr>
            <w:tcW w:w="6310" w:type="dxa"/>
            <w:vAlign w:val="center"/>
          </w:tcPr>
          <w:p w14:paraId="27E8141D">
            <w:pPr>
              <w:tabs>
                <w:tab w:val="left" w:pos="3060"/>
              </w:tabs>
              <w:snapToGrid w:val="0"/>
              <w:spacing w:line="320" w:lineRule="exact"/>
              <w:rPr>
                <w:rFonts w:hint="eastAsia" w:ascii="宋体" w:hAnsi="宋体"/>
                <w:bCs/>
                <w:sz w:val="21"/>
                <w:szCs w:val="21"/>
                <w:highlight w:val="none"/>
              </w:rPr>
            </w:pPr>
            <w:r>
              <w:rPr>
                <w:rFonts w:ascii="宋体" w:hAnsi="宋体"/>
                <w:bCs/>
                <w:sz w:val="21"/>
                <w:szCs w:val="21"/>
                <w:highlight w:val="none"/>
              </w:rPr>
              <w:t>投标文件按照招标文件规定的格式、内容填写，字迹清晰可辨：</w:t>
            </w:r>
          </w:p>
          <w:p w14:paraId="531A77BF">
            <w:pPr>
              <w:tabs>
                <w:tab w:val="left" w:pos="3060"/>
              </w:tabs>
              <w:snapToGrid w:val="0"/>
              <w:spacing w:line="320" w:lineRule="exact"/>
              <w:rPr>
                <w:rFonts w:hint="eastAsia"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w:t>
            </w:r>
            <w:r>
              <w:rPr>
                <w:rFonts w:hint="eastAsia" w:ascii="宋体" w:hAnsi="宋体"/>
                <w:bCs/>
                <w:sz w:val="21"/>
                <w:szCs w:val="21"/>
                <w:highlight w:val="none"/>
                <w:lang w:val="en-US" w:eastAsia="zh-CN"/>
              </w:rPr>
              <w:t>投标</w:t>
            </w:r>
            <w:r>
              <w:rPr>
                <w:rFonts w:hint="eastAsia" w:ascii="宋体" w:hAnsi="宋体"/>
                <w:bCs/>
                <w:sz w:val="21"/>
                <w:szCs w:val="21"/>
                <w:highlight w:val="none"/>
              </w:rPr>
              <w:t>报价</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包括大写金额和小写金额</w:t>
            </w:r>
            <w:r>
              <w:rPr>
                <w:rFonts w:hint="eastAsia" w:ascii="宋体" w:hAnsi="宋体"/>
                <w:bCs/>
                <w:sz w:val="21"/>
                <w:szCs w:val="21"/>
                <w:highlight w:val="none"/>
                <w:lang w:eastAsia="zh-CN"/>
              </w:rPr>
              <w:t>）</w:t>
            </w:r>
            <w:r>
              <w:rPr>
                <w:rFonts w:hint="eastAsia" w:ascii="宋体" w:hAnsi="宋体"/>
                <w:bCs/>
                <w:sz w:val="21"/>
                <w:szCs w:val="21"/>
                <w:highlight w:val="none"/>
              </w:rPr>
              <w:t>、</w:t>
            </w:r>
            <w:r>
              <w:rPr>
                <w:rFonts w:hint="eastAsia" w:ascii="宋体" w:hAnsi="宋体"/>
                <w:bCs/>
                <w:sz w:val="21"/>
                <w:szCs w:val="21"/>
                <w:highlight w:val="none"/>
                <w:lang w:val="en-US" w:eastAsia="zh-CN"/>
              </w:rPr>
              <w:t>项目负责人、</w:t>
            </w:r>
            <w:r>
              <w:rPr>
                <w:rFonts w:ascii="宋体" w:hAnsi="宋体"/>
                <w:bCs/>
                <w:sz w:val="21"/>
                <w:szCs w:val="21"/>
                <w:highlight w:val="none"/>
              </w:rPr>
              <w:t>服务期限</w:t>
            </w:r>
            <w:r>
              <w:rPr>
                <w:rFonts w:hint="eastAsia" w:ascii="宋体" w:hAnsi="宋体"/>
                <w:bCs/>
                <w:sz w:val="21"/>
                <w:szCs w:val="21"/>
                <w:highlight w:val="none"/>
              </w:rPr>
              <w:t>、服务质量等内容</w:t>
            </w:r>
            <w:r>
              <w:rPr>
                <w:rFonts w:ascii="宋体" w:hAnsi="宋体"/>
                <w:bCs/>
                <w:sz w:val="21"/>
                <w:szCs w:val="21"/>
                <w:highlight w:val="none"/>
              </w:rPr>
              <w:t>；</w:t>
            </w:r>
          </w:p>
          <w:p w14:paraId="15448463">
            <w:pPr>
              <w:pStyle w:val="16"/>
              <w:snapToGrid w:val="0"/>
              <w:spacing w:line="300" w:lineRule="exact"/>
              <w:rPr>
                <w:rFonts w:hint="eastAsia" w:ascii="宋体" w:hAnsi="宋体" w:cs="宋体"/>
                <w:sz w:val="21"/>
                <w:szCs w:val="21"/>
                <w:highlight w:val="none"/>
              </w:rPr>
            </w:pPr>
            <w:r>
              <w:rPr>
                <w:rFonts w:ascii="宋体" w:hAnsi="宋体"/>
                <w:bCs/>
                <w:sz w:val="21"/>
                <w:szCs w:val="21"/>
                <w:highlight w:val="none"/>
              </w:rPr>
              <w:t>b.投标文件组成齐全完整，内容均按规定填写。</w:t>
            </w:r>
          </w:p>
        </w:tc>
      </w:tr>
      <w:tr w14:paraId="66C6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299AB863">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703B6C92">
            <w:pPr>
              <w:snapToGrid w:val="0"/>
              <w:spacing w:line="300" w:lineRule="exact"/>
              <w:jc w:val="center"/>
              <w:rPr>
                <w:rFonts w:hint="eastAsia" w:ascii="宋体" w:hAnsi="宋体" w:cs="宋体"/>
                <w:sz w:val="21"/>
                <w:szCs w:val="21"/>
                <w:highlight w:val="none"/>
              </w:rPr>
            </w:pPr>
          </w:p>
        </w:tc>
        <w:tc>
          <w:tcPr>
            <w:tcW w:w="1575" w:type="dxa"/>
            <w:vAlign w:val="center"/>
          </w:tcPr>
          <w:p w14:paraId="625656EB">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1"/>
                <w:sz w:val="21"/>
                <w:szCs w:val="21"/>
                <w:highlight w:val="none"/>
              </w:rPr>
              <w:t>联合体投标人</w:t>
            </w:r>
          </w:p>
        </w:tc>
        <w:tc>
          <w:tcPr>
            <w:tcW w:w="6310" w:type="dxa"/>
            <w:vAlign w:val="center"/>
          </w:tcPr>
          <w:p w14:paraId="77A65C9A">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投标人未以联合体形式参加投标</w:t>
            </w:r>
          </w:p>
        </w:tc>
      </w:tr>
      <w:tr w14:paraId="3037B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4F29E15">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70A80330">
            <w:pPr>
              <w:snapToGrid w:val="0"/>
              <w:spacing w:line="300" w:lineRule="exact"/>
              <w:jc w:val="center"/>
              <w:rPr>
                <w:rFonts w:hint="eastAsia" w:ascii="宋体" w:hAnsi="宋体" w:cs="宋体"/>
                <w:sz w:val="21"/>
                <w:szCs w:val="21"/>
                <w:highlight w:val="none"/>
              </w:rPr>
            </w:pPr>
          </w:p>
        </w:tc>
        <w:tc>
          <w:tcPr>
            <w:tcW w:w="1575" w:type="dxa"/>
            <w:vAlign w:val="center"/>
          </w:tcPr>
          <w:p w14:paraId="3CEA66C6">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备选投标方案</w:t>
            </w:r>
          </w:p>
        </w:tc>
        <w:tc>
          <w:tcPr>
            <w:tcW w:w="6310" w:type="dxa"/>
            <w:vAlign w:val="center"/>
          </w:tcPr>
          <w:p w14:paraId="7C69480B">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未提交备选投标方案</w:t>
            </w:r>
          </w:p>
        </w:tc>
      </w:tr>
      <w:tr w14:paraId="05C08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6B566ACF">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4AB06785">
            <w:pPr>
              <w:snapToGrid w:val="0"/>
              <w:spacing w:line="300" w:lineRule="exact"/>
              <w:jc w:val="center"/>
              <w:rPr>
                <w:rFonts w:hint="eastAsia" w:ascii="宋体" w:hAnsi="宋体" w:cs="宋体"/>
                <w:sz w:val="21"/>
                <w:szCs w:val="21"/>
                <w:highlight w:val="none"/>
              </w:rPr>
            </w:pPr>
          </w:p>
        </w:tc>
        <w:tc>
          <w:tcPr>
            <w:tcW w:w="1575" w:type="dxa"/>
            <w:vAlign w:val="center"/>
          </w:tcPr>
          <w:p w14:paraId="4BCBBC70">
            <w:pPr>
              <w:pStyle w:val="16"/>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分包</w:t>
            </w:r>
          </w:p>
        </w:tc>
        <w:tc>
          <w:tcPr>
            <w:tcW w:w="6310" w:type="dxa"/>
            <w:vAlign w:val="center"/>
          </w:tcPr>
          <w:p w14:paraId="34E85C70">
            <w:pPr>
              <w:pStyle w:val="16"/>
              <w:snapToGrid w:val="0"/>
              <w:spacing w:line="3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符合第二章“投标人须知”第1.11款规定</w:t>
            </w:r>
          </w:p>
        </w:tc>
      </w:tr>
      <w:tr w14:paraId="1977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97" w:type="dxa"/>
            <w:vMerge w:val="continue"/>
            <w:vAlign w:val="center"/>
          </w:tcPr>
          <w:p w14:paraId="210908CD">
            <w:pPr>
              <w:snapToGrid w:val="0"/>
              <w:spacing w:line="300" w:lineRule="exact"/>
              <w:jc w:val="center"/>
              <w:rPr>
                <w:rFonts w:hint="eastAsia" w:ascii="宋体" w:hAnsi="宋体" w:cs="宋体"/>
                <w:sz w:val="21"/>
                <w:szCs w:val="21"/>
                <w:highlight w:val="none"/>
              </w:rPr>
            </w:pPr>
          </w:p>
        </w:tc>
        <w:tc>
          <w:tcPr>
            <w:tcW w:w="975" w:type="dxa"/>
            <w:vMerge w:val="continue"/>
            <w:tcBorders>
              <w:top w:val="nil"/>
            </w:tcBorders>
            <w:vAlign w:val="center"/>
          </w:tcPr>
          <w:p w14:paraId="154C380B">
            <w:pPr>
              <w:snapToGrid w:val="0"/>
              <w:spacing w:line="300" w:lineRule="exact"/>
              <w:jc w:val="center"/>
              <w:rPr>
                <w:rFonts w:hint="eastAsia" w:ascii="宋体" w:hAnsi="宋体" w:cs="宋体"/>
                <w:sz w:val="21"/>
                <w:szCs w:val="21"/>
                <w:highlight w:val="none"/>
              </w:rPr>
            </w:pPr>
          </w:p>
        </w:tc>
        <w:tc>
          <w:tcPr>
            <w:tcW w:w="1575" w:type="dxa"/>
            <w:vAlign w:val="center"/>
          </w:tcPr>
          <w:p w14:paraId="2EB32661">
            <w:pPr>
              <w:pStyle w:val="16"/>
              <w:snapToGrid w:val="0"/>
              <w:spacing w:line="300" w:lineRule="exact"/>
              <w:jc w:val="center"/>
              <w:rPr>
                <w:rFonts w:hint="eastAsia" w:ascii="宋体" w:hAnsi="宋体" w:cs="宋体"/>
                <w:sz w:val="21"/>
                <w:szCs w:val="21"/>
                <w:highlight w:val="none"/>
              </w:rPr>
            </w:pPr>
            <w:r>
              <w:rPr>
                <w:rFonts w:hint="eastAsia" w:ascii="宋体" w:hAnsi="宋体"/>
                <w:sz w:val="21"/>
                <w:szCs w:val="21"/>
                <w:highlight w:val="none"/>
              </w:rPr>
              <w:t>投标文件</w:t>
            </w:r>
          </w:p>
        </w:tc>
        <w:tc>
          <w:tcPr>
            <w:tcW w:w="6310" w:type="dxa"/>
            <w:vAlign w:val="center"/>
          </w:tcPr>
          <w:p w14:paraId="5FE86428">
            <w:pPr>
              <w:pStyle w:val="16"/>
              <w:snapToGrid w:val="0"/>
              <w:spacing w:line="300" w:lineRule="exact"/>
              <w:rPr>
                <w:rFonts w:hint="eastAsia" w:ascii="宋体" w:hAnsi="宋体"/>
                <w:sz w:val="21"/>
                <w:szCs w:val="21"/>
                <w:highlight w:val="none"/>
              </w:rPr>
            </w:pPr>
            <w:r>
              <w:rPr>
                <w:rFonts w:hint="eastAsia" w:ascii="宋体" w:hAnsi="宋体"/>
                <w:sz w:val="21"/>
                <w:szCs w:val="21"/>
                <w:highlight w:val="none"/>
              </w:rPr>
              <w:t>同一投标人未提交两个以上不同的投标文件</w:t>
            </w:r>
          </w:p>
        </w:tc>
      </w:tr>
      <w:tr w14:paraId="38F0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4B1C0FB2">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2.1.2</w:t>
            </w:r>
          </w:p>
        </w:tc>
        <w:tc>
          <w:tcPr>
            <w:tcW w:w="975" w:type="dxa"/>
            <w:vMerge w:val="restart"/>
            <w:vAlign w:val="center"/>
          </w:tcPr>
          <w:p w14:paraId="3F9A2377">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2"/>
                <w:sz w:val="21"/>
                <w:szCs w:val="21"/>
                <w:highlight w:val="none"/>
              </w:rPr>
              <w:t>资格评审</w:t>
            </w:r>
            <w:r>
              <w:rPr>
                <w:rFonts w:hint="eastAsia" w:ascii="宋体" w:hAnsi="宋体" w:cs="宋体"/>
                <w:sz w:val="21"/>
                <w:szCs w:val="21"/>
                <w:highlight w:val="none"/>
              </w:rPr>
              <w:t>标准</w:t>
            </w:r>
          </w:p>
        </w:tc>
        <w:tc>
          <w:tcPr>
            <w:tcW w:w="1575" w:type="dxa"/>
            <w:vAlign w:val="center"/>
          </w:tcPr>
          <w:p w14:paraId="5E25DCB5">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营业执照</w:t>
            </w:r>
          </w:p>
        </w:tc>
        <w:tc>
          <w:tcPr>
            <w:tcW w:w="6310" w:type="dxa"/>
            <w:vAlign w:val="center"/>
          </w:tcPr>
          <w:p w14:paraId="07B0BBC9">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具有独立法人资格，持有有效的企业营业执照。</w:t>
            </w:r>
          </w:p>
        </w:tc>
      </w:tr>
      <w:tr w14:paraId="35F8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399FA151">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1782E5EE">
            <w:pPr>
              <w:snapToGrid w:val="0"/>
              <w:spacing w:line="300" w:lineRule="exact"/>
              <w:jc w:val="center"/>
              <w:rPr>
                <w:rFonts w:hint="eastAsia" w:ascii="宋体" w:hAnsi="宋体" w:cs="宋体"/>
                <w:sz w:val="21"/>
                <w:szCs w:val="21"/>
                <w:highlight w:val="none"/>
              </w:rPr>
            </w:pPr>
          </w:p>
        </w:tc>
        <w:tc>
          <w:tcPr>
            <w:tcW w:w="1575" w:type="dxa"/>
            <w:vAlign w:val="center"/>
          </w:tcPr>
          <w:p w14:paraId="0FA10BEB">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资质要求</w:t>
            </w:r>
          </w:p>
        </w:tc>
        <w:tc>
          <w:tcPr>
            <w:tcW w:w="6310" w:type="dxa"/>
            <w:vAlign w:val="center"/>
          </w:tcPr>
          <w:p w14:paraId="765C8074">
            <w:pPr>
              <w:pStyle w:val="16"/>
              <w:snapToGrid w:val="0"/>
              <w:spacing w:line="300" w:lineRule="exact"/>
              <w:rPr>
                <w:rFonts w:hint="eastAsia" w:ascii="宋体" w:hAnsi="宋体" w:cs="宋体"/>
                <w:spacing w:val="-3"/>
                <w:sz w:val="21"/>
                <w:szCs w:val="21"/>
                <w:highlight w:val="none"/>
              </w:rPr>
            </w:pPr>
            <w:r>
              <w:rPr>
                <w:rFonts w:hint="eastAsia" w:ascii="宋体" w:hAnsi="宋体" w:cs="宋体"/>
                <w:spacing w:val="-3"/>
                <w:sz w:val="21"/>
                <w:szCs w:val="21"/>
                <w:highlight w:val="none"/>
              </w:rPr>
              <w:t>符合第二章“投标人须知”第1.4.1项</w:t>
            </w:r>
            <w:r>
              <w:rPr>
                <w:rFonts w:hint="eastAsia" w:ascii="宋体" w:hAnsi="宋体" w:cs="宋体"/>
                <w:sz w:val="21"/>
                <w:szCs w:val="21"/>
                <w:highlight w:val="none"/>
              </w:rPr>
              <w:t>及投标人须知前附表第3.5.1款</w:t>
            </w:r>
            <w:r>
              <w:rPr>
                <w:rFonts w:hint="eastAsia" w:ascii="宋体" w:hAnsi="宋体" w:cs="宋体"/>
                <w:spacing w:val="-3"/>
                <w:sz w:val="21"/>
                <w:szCs w:val="21"/>
                <w:highlight w:val="none"/>
              </w:rPr>
              <w:t>规定</w:t>
            </w:r>
          </w:p>
        </w:tc>
      </w:tr>
      <w:tr w14:paraId="33CC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22CF3104">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2ED5BC48">
            <w:pPr>
              <w:snapToGrid w:val="0"/>
              <w:spacing w:line="300" w:lineRule="exact"/>
              <w:jc w:val="center"/>
              <w:rPr>
                <w:rFonts w:hint="eastAsia" w:ascii="宋体" w:hAnsi="宋体" w:cs="宋体"/>
                <w:sz w:val="21"/>
                <w:szCs w:val="21"/>
                <w:highlight w:val="none"/>
              </w:rPr>
            </w:pPr>
          </w:p>
        </w:tc>
        <w:tc>
          <w:tcPr>
            <w:tcW w:w="1575" w:type="dxa"/>
            <w:vAlign w:val="center"/>
          </w:tcPr>
          <w:p w14:paraId="4AC5C026">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业绩要求</w:t>
            </w:r>
          </w:p>
        </w:tc>
        <w:tc>
          <w:tcPr>
            <w:tcW w:w="6310" w:type="dxa"/>
            <w:vAlign w:val="center"/>
          </w:tcPr>
          <w:p w14:paraId="284FA681">
            <w:pPr>
              <w:pStyle w:val="16"/>
              <w:snapToGrid w:val="0"/>
              <w:spacing w:line="300" w:lineRule="exact"/>
              <w:rPr>
                <w:rFonts w:hint="eastAsia" w:ascii="宋体" w:hAnsi="宋体" w:cs="宋体"/>
                <w:spacing w:val="-3"/>
                <w:sz w:val="21"/>
                <w:szCs w:val="21"/>
                <w:highlight w:val="none"/>
              </w:rPr>
            </w:pPr>
            <w:r>
              <w:rPr>
                <w:rFonts w:hint="eastAsia" w:ascii="宋体" w:hAnsi="宋体" w:cs="宋体"/>
                <w:spacing w:val="-3"/>
                <w:sz w:val="21"/>
                <w:szCs w:val="21"/>
                <w:highlight w:val="none"/>
              </w:rPr>
              <w:t>符合第二章“投标人须知”第1.4.1项</w:t>
            </w:r>
            <w:r>
              <w:rPr>
                <w:rFonts w:hint="eastAsia" w:ascii="宋体" w:hAnsi="宋体" w:cs="宋体"/>
                <w:sz w:val="21"/>
                <w:szCs w:val="21"/>
                <w:highlight w:val="none"/>
              </w:rPr>
              <w:t>及投标人须知前附表第3.5.2款</w:t>
            </w:r>
            <w:r>
              <w:rPr>
                <w:rFonts w:hint="eastAsia" w:ascii="宋体" w:hAnsi="宋体" w:cs="宋体"/>
                <w:spacing w:val="-3"/>
                <w:sz w:val="21"/>
                <w:szCs w:val="21"/>
                <w:highlight w:val="none"/>
              </w:rPr>
              <w:t>规定</w:t>
            </w:r>
          </w:p>
        </w:tc>
      </w:tr>
      <w:tr w14:paraId="25F2B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6B6E0661">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77671B5">
            <w:pPr>
              <w:snapToGrid w:val="0"/>
              <w:spacing w:line="300" w:lineRule="exact"/>
              <w:jc w:val="center"/>
              <w:rPr>
                <w:rFonts w:hint="eastAsia" w:ascii="宋体" w:hAnsi="宋体" w:cs="宋体"/>
                <w:sz w:val="21"/>
                <w:szCs w:val="21"/>
                <w:highlight w:val="none"/>
              </w:rPr>
            </w:pPr>
          </w:p>
        </w:tc>
        <w:tc>
          <w:tcPr>
            <w:tcW w:w="1575" w:type="dxa"/>
            <w:vAlign w:val="center"/>
          </w:tcPr>
          <w:p w14:paraId="753780A6">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信誉要求</w:t>
            </w:r>
          </w:p>
        </w:tc>
        <w:tc>
          <w:tcPr>
            <w:tcW w:w="6310" w:type="dxa"/>
            <w:vAlign w:val="center"/>
          </w:tcPr>
          <w:p w14:paraId="757F225E">
            <w:pPr>
              <w:pStyle w:val="16"/>
              <w:snapToGrid w:val="0"/>
              <w:spacing w:line="300" w:lineRule="exact"/>
              <w:rPr>
                <w:rFonts w:hint="eastAsia" w:ascii="宋体" w:hAnsi="宋体" w:cs="宋体"/>
                <w:spacing w:val="-3"/>
                <w:sz w:val="21"/>
                <w:szCs w:val="21"/>
                <w:highlight w:val="none"/>
              </w:rPr>
            </w:pPr>
            <w:r>
              <w:rPr>
                <w:rFonts w:hint="eastAsia" w:ascii="宋体" w:hAnsi="宋体" w:cs="宋体"/>
                <w:spacing w:val="-3"/>
                <w:sz w:val="21"/>
                <w:szCs w:val="21"/>
                <w:highlight w:val="none"/>
              </w:rPr>
              <w:t>符合第二章“投标人须知”第1.4.1项</w:t>
            </w:r>
            <w:r>
              <w:rPr>
                <w:rFonts w:hint="eastAsia" w:ascii="宋体" w:hAnsi="宋体" w:cs="宋体"/>
                <w:sz w:val="21"/>
                <w:szCs w:val="21"/>
                <w:highlight w:val="none"/>
              </w:rPr>
              <w:t>及投标人须知前附表第3.5.3款</w:t>
            </w:r>
            <w:r>
              <w:rPr>
                <w:rFonts w:hint="eastAsia" w:ascii="宋体" w:hAnsi="宋体" w:cs="宋体"/>
                <w:spacing w:val="-3"/>
                <w:sz w:val="21"/>
                <w:szCs w:val="21"/>
                <w:highlight w:val="none"/>
              </w:rPr>
              <w:t>规定</w:t>
            </w:r>
          </w:p>
        </w:tc>
      </w:tr>
      <w:tr w14:paraId="638E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56094159">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42F63900">
            <w:pPr>
              <w:snapToGrid w:val="0"/>
              <w:spacing w:line="300" w:lineRule="exact"/>
              <w:jc w:val="center"/>
              <w:rPr>
                <w:rFonts w:hint="eastAsia" w:ascii="宋体" w:hAnsi="宋体" w:cs="宋体"/>
                <w:sz w:val="21"/>
                <w:szCs w:val="21"/>
                <w:highlight w:val="none"/>
              </w:rPr>
            </w:pPr>
          </w:p>
        </w:tc>
        <w:tc>
          <w:tcPr>
            <w:tcW w:w="1575" w:type="dxa"/>
            <w:vAlign w:val="center"/>
          </w:tcPr>
          <w:p w14:paraId="6EEDC611">
            <w:pPr>
              <w:pStyle w:val="18"/>
              <w:spacing w:before="65" w:line="228" w:lineRule="auto"/>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项目负责人</w:t>
            </w:r>
          </w:p>
        </w:tc>
        <w:tc>
          <w:tcPr>
            <w:tcW w:w="6310" w:type="dxa"/>
            <w:vAlign w:val="top"/>
          </w:tcPr>
          <w:p w14:paraId="4F73C20E">
            <w:pPr>
              <w:pStyle w:val="18"/>
              <w:spacing w:before="161" w:line="311" w:lineRule="auto"/>
              <w:ind w:left="13" w:leftChars="0" w:right="6" w:rightChars="0" w:hanging="2" w:firstLineChars="0"/>
              <w:jc w:val="left"/>
              <w:rPr>
                <w:rFonts w:hint="eastAsia" w:ascii="宋体" w:hAnsi="宋体" w:eastAsia="宋体" w:cs="宋体"/>
                <w:spacing w:val="-3"/>
                <w:sz w:val="21"/>
                <w:szCs w:val="21"/>
                <w:highlight w:val="none"/>
              </w:rPr>
            </w:pPr>
            <w:r>
              <w:rPr>
                <w:rFonts w:hint="eastAsia" w:ascii="宋体" w:hAnsi="宋体" w:eastAsia="宋体" w:cs="宋体"/>
                <w:spacing w:val="12"/>
                <w:sz w:val="21"/>
                <w:szCs w:val="21"/>
                <w:highlight w:val="none"/>
              </w:rPr>
              <w:t>符合第二章“投标人须知</w:t>
            </w:r>
            <w:r>
              <w:rPr>
                <w:rFonts w:hint="eastAsia" w:ascii="宋体" w:hAnsi="宋体" w:eastAsia="宋体" w:cs="宋体"/>
                <w:spacing w:val="-67"/>
                <w:sz w:val="21"/>
                <w:szCs w:val="21"/>
                <w:highlight w:val="none"/>
              </w:rPr>
              <w:t xml:space="preserve"> </w:t>
            </w:r>
            <w:r>
              <w:rPr>
                <w:rFonts w:hint="eastAsia" w:ascii="宋体" w:hAnsi="宋体" w:eastAsia="宋体" w:cs="宋体"/>
                <w:spacing w:val="12"/>
                <w:sz w:val="21"/>
                <w:szCs w:val="21"/>
                <w:highlight w:val="none"/>
              </w:rPr>
              <w:t>”第</w:t>
            </w:r>
            <w:r>
              <w:rPr>
                <w:rFonts w:hint="eastAsia" w:ascii="宋体" w:hAnsi="宋体" w:eastAsia="宋体" w:cs="宋体"/>
                <w:spacing w:val="41"/>
                <w:sz w:val="21"/>
                <w:szCs w:val="21"/>
                <w:highlight w:val="none"/>
              </w:rPr>
              <w:t xml:space="preserve"> </w:t>
            </w:r>
            <w:r>
              <w:rPr>
                <w:rFonts w:hint="eastAsia" w:ascii="宋体" w:hAnsi="宋体" w:eastAsia="宋体" w:cs="宋体"/>
                <w:spacing w:val="12"/>
                <w:sz w:val="21"/>
                <w:szCs w:val="21"/>
                <w:highlight w:val="none"/>
              </w:rPr>
              <w:t>1.4.1  项及投标人须知</w:t>
            </w:r>
            <w:r>
              <w:rPr>
                <w:rFonts w:hint="eastAsia" w:ascii="宋体" w:hAnsi="宋体" w:eastAsia="宋体" w:cs="宋体"/>
                <w:spacing w:val="11"/>
                <w:sz w:val="21"/>
                <w:szCs w:val="21"/>
                <w:highlight w:val="none"/>
              </w:rPr>
              <w:t>前附表第</w:t>
            </w:r>
            <w:r>
              <w:rPr>
                <w:rFonts w:hint="eastAsia" w:ascii="宋体" w:hAnsi="宋体" w:eastAsia="宋体" w:cs="宋体"/>
                <w:spacing w:val="3"/>
                <w:sz w:val="21"/>
                <w:szCs w:val="21"/>
                <w:highlight w:val="none"/>
              </w:rPr>
              <w:t>3.5.4</w:t>
            </w:r>
            <w:r>
              <w:rPr>
                <w:rFonts w:hint="eastAsia" w:ascii="宋体" w:hAnsi="宋体" w:eastAsia="宋体" w:cs="宋体"/>
                <w:spacing w:val="-38"/>
                <w:sz w:val="21"/>
                <w:szCs w:val="21"/>
                <w:highlight w:val="none"/>
              </w:rPr>
              <w:t xml:space="preserve"> </w:t>
            </w:r>
            <w:r>
              <w:rPr>
                <w:rFonts w:hint="eastAsia" w:ascii="宋体" w:hAnsi="宋体" w:eastAsia="宋体" w:cs="宋体"/>
                <w:spacing w:val="3"/>
                <w:sz w:val="21"/>
                <w:szCs w:val="21"/>
                <w:highlight w:val="none"/>
              </w:rPr>
              <w:t>款规定</w:t>
            </w:r>
          </w:p>
        </w:tc>
      </w:tr>
      <w:tr w14:paraId="150F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70F43E0D">
            <w:pPr>
              <w:pStyle w:val="16"/>
              <w:snapToGrid w:val="0"/>
              <w:spacing w:line="300" w:lineRule="exact"/>
              <w:jc w:val="center"/>
              <w:rPr>
                <w:rFonts w:hint="eastAsia" w:ascii="宋体" w:hAnsi="宋体" w:cs="宋体"/>
                <w:sz w:val="21"/>
                <w:szCs w:val="21"/>
                <w:highlight w:val="none"/>
              </w:rPr>
            </w:pPr>
          </w:p>
        </w:tc>
        <w:tc>
          <w:tcPr>
            <w:tcW w:w="975" w:type="dxa"/>
            <w:vMerge w:val="continue"/>
            <w:vAlign w:val="center"/>
          </w:tcPr>
          <w:p w14:paraId="5074E163">
            <w:pPr>
              <w:pStyle w:val="16"/>
              <w:snapToGrid w:val="0"/>
              <w:spacing w:line="300" w:lineRule="exact"/>
              <w:jc w:val="center"/>
              <w:rPr>
                <w:rFonts w:hint="eastAsia" w:ascii="宋体" w:hAnsi="宋体" w:cs="宋体"/>
                <w:sz w:val="21"/>
                <w:szCs w:val="21"/>
                <w:highlight w:val="none"/>
              </w:rPr>
            </w:pPr>
          </w:p>
        </w:tc>
        <w:tc>
          <w:tcPr>
            <w:tcW w:w="1575" w:type="dxa"/>
            <w:vAlign w:val="center"/>
          </w:tcPr>
          <w:p w14:paraId="342C2259">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其他要求</w:t>
            </w:r>
          </w:p>
        </w:tc>
        <w:tc>
          <w:tcPr>
            <w:tcW w:w="6310" w:type="dxa"/>
            <w:vAlign w:val="center"/>
          </w:tcPr>
          <w:p w14:paraId="4DEFB339">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符合第一章“招标公告”第3.1.</w:t>
            </w:r>
            <w:r>
              <w:rPr>
                <w:rFonts w:hint="eastAsia" w:ascii="宋体" w:hAnsi="宋体" w:cs="宋体"/>
                <w:sz w:val="21"/>
                <w:szCs w:val="21"/>
                <w:highlight w:val="none"/>
                <w:lang w:val="en-US" w:eastAsia="zh-CN"/>
              </w:rPr>
              <w:t>5</w:t>
            </w:r>
            <w:r>
              <w:rPr>
                <w:rFonts w:hint="eastAsia" w:ascii="宋体" w:hAnsi="宋体" w:cs="宋体"/>
                <w:sz w:val="21"/>
                <w:szCs w:val="21"/>
                <w:highlight w:val="none"/>
              </w:rPr>
              <w:t>项规定</w:t>
            </w:r>
          </w:p>
        </w:tc>
      </w:tr>
      <w:tr w14:paraId="3650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45BCD36E">
            <w:pPr>
              <w:pStyle w:val="16"/>
              <w:snapToGrid w:val="0"/>
              <w:spacing w:line="300" w:lineRule="exact"/>
              <w:jc w:val="center"/>
              <w:rPr>
                <w:rFonts w:hint="eastAsia" w:ascii="宋体" w:hAnsi="宋体" w:cs="宋体"/>
                <w:sz w:val="21"/>
                <w:szCs w:val="21"/>
                <w:highlight w:val="none"/>
              </w:rPr>
            </w:pPr>
          </w:p>
        </w:tc>
        <w:tc>
          <w:tcPr>
            <w:tcW w:w="975" w:type="dxa"/>
            <w:vMerge w:val="continue"/>
            <w:vAlign w:val="center"/>
          </w:tcPr>
          <w:p w14:paraId="4DB33C22">
            <w:pPr>
              <w:pStyle w:val="16"/>
              <w:snapToGrid w:val="0"/>
              <w:spacing w:line="300" w:lineRule="exact"/>
              <w:jc w:val="center"/>
              <w:rPr>
                <w:rFonts w:hint="eastAsia" w:ascii="宋体" w:hAnsi="宋体" w:cs="宋体"/>
                <w:sz w:val="21"/>
                <w:szCs w:val="21"/>
                <w:highlight w:val="none"/>
              </w:rPr>
            </w:pPr>
          </w:p>
        </w:tc>
        <w:tc>
          <w:tcPr>
            <w:tcW w:w="1575" w:type="dxa"/>
            <w:vAlign w:val="center"/>
          </w:tcPr>
          <w:p w14:paraId="23CEB89A">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不存在禁止投标的情形</w:t>
            </w:r>
          </w:p>
        </w:tc>
        <w:tc>
          <w:tcPr>
            <w:tcW w:w="6310" w:type="dxa"/>
            <w:vAlign w:val="center"/>
          </w:tcPr>
          <w:p w14:paraId="13614158">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不存在第二章“投标人须知”第1.4.3项或第1.4.4项规定的任何一种情形</w:t>
            </w:r>
          </w:p>
        </w:tc>
      </w:tr>
      <w:tr w14:paraId="5D6B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3F22FE84">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2.1.3</w:t>
            </w:r>
          </w:p>
        </w:tc>
        <w:tc>
          <w:tcPr>
            <w:tcW w:w="975" w:type="dxa"/>
            <w:vMerge w:val="restart"/>
            <w:vAlign w:val="center"/>
          </w:tcPr>
          <w:p w14:paraId="1F5F8F18">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2"/>
                <w:sz w:val="21"/>
                <w:szCs w:val="21"/>
                <w:highlight w:val="none"/>
              </w:rPr>
              <w:t>响应性评</w:t>
            </w:r>
            <w:r>
              <w:rPr>
                <w:rFonts w:hint="eastAsia" w:ascii="宋体" w:hAnsi="宋体" w:cs="宋体"/>
                <w:sz w:val="21"/>
                <w:szCs w:val="21"/>
                <w:highlight w:val="none"/>
              </w:rPr>
              <w:t>审标准</w:t>
            </w:r>
          </w:p>
        </w:tc>
        <w:tc>
          <w:tcPr>
            <w:tcW w:w="1575" w:type="dxa"/>
            <w:vAlign w:val="center"/>
          </w:tcPr>
          <w:p w14:paraId="0D610B4D">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投标报价</w:t>
            </w:r>
          </w:p>
        </w:tc>
        <w:tc>
          <w:tcPr>
            <w:tcW w:w="6310" w:type="dxa"/>
            <w:vAlign w:val="center"/>
          </w:tcPr>
          <w:p w14:paraId="69913602">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符合第二章“投标人须知”第3.2款规定</w:t>
            </w:r>
          </w:p>
        </w:tc>
      </w:tr>
      <w:tr w14:paraId="45692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C09C59C">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46BF2D2">
            <w:pPr>
              <w:snapToGrid w:val="0"/>
              <w:spacing w:line="300" w:lineRule="exact"/>
              <w:jc w:val="center"/>
              <w:rPr>
                <w:rFonts w:hint="eastAsia" w:ascii="宋体" w:hAnsi="宋体" w:cs="宋体"/>
                <w:sz w:val="21"/>
                <w:szCs w:val="21"/>
                <w:highlight w:val="none"/>
              </w:rPr>
            </w:pPr>
          </w:p>
        </w:tc>
        <w:tc>
          <w:tcPr>
            <w:tcW w:w="1575" w:type="dxa"/>
            <w:vAlign w:val="center"/>
          </w:tcPr>
          <w:p w14:paraId="46BA6414">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投标内容</w:t>
            </w:r>
          </w:p>
        </w:tc>
        <w:tc>
          <w:tcPr>
            <w:tcW w:w="6310" w:type="dxa"/>
            <w:vAlign w:val="center"/>
          </w:tcPr>
          <w:p w14:paraId="0ED2C98D">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符合第二章“投标人须知”第1.3.1项规定</w:t>
            </w:r>
          </w:p>
        </w:tc>
      </w:tr>
      <w:tr w14:paraId="2AE02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751DC3C1">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49DFCE0B">
            <w:pPr>
              <w:snapToGrid w:val="0"/>
              <w:spacing w:line="300" w:lineRule="exact"/>
              <w:jc w:val="center"/>
              <w:rPr>
                <w:rFonts w:hint="eastAsia" w:ascii="宋体" w:hAnsi="宋体" w:cs="宋体"/>
                <w:sz w:val="21"/>
                <w:szCs w:val="21"/>
                <w:highlight w:val="none"/>
              </w:rPr>
            </w:pPr>
          </w:p>
        </w:tc>
        <w:tc>
          <w:tcPr>
            <w:tcW w:w="1575" w:type="dxa"/>
            <w:vAlign w:val="center"/>
          </w:tcPr>
          <w:p w14:paraId="5FBD374F">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服务期限</w:t>
            </w:r>
          </w:p>
        </w:tc>
        <w:tc>
          <w:tcPr>
            <w:tcW w:w="6310" w:type="dxa"/>
            <w:vAlign w:val="center"/>
          </w:tcPr>
          <w:p w14:paraId="7C1972C5">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符合第二章“投标人须知”第1.3.2项规定</w:t>
            </w:r>
          </w:p>
        </w:tc>
      </w:tr>
      <w:tr w14:paraId="739B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744C48A7">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68FC8BF8">
            <w:pPr>
              <w:snapToGrid w:val="0"/>
              <w:spacing w:line="300" w:lineRule="exact"/>
              <w:jc w:val="center"/>
              <w:rPr>
                <w:rFonts w:hint="eastAsia" w:ascii="宋体" w:hAnsi="宋体" w:cs="宋体"/>
                <w:sz w:val="21"/>
                <w:szCs w:val="21"/>
                <w:highlight w:val="none"/>
              </w:rPr>
            </w:pPr>
          </w:p>
        </w:tc>
        <w:tc>
          <w:tcPr>
            <w:tcW w:w="1575" w:type="dxa"/>
            <w:vAlign w:val="center"/>
          </w:tcPr>
          <w:p w14:paraId="325A912A">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服务质量</w:t>
            </w:r>
          </w:p>
        </w:tc>
        <w:tc>
          <w:tcPr>
            <w:tcW w:w="6310" w:type="dxa"/>
            <w:vAlign w:val="center"/>
          </w:tcPr>
          <w:p w14:paraId="395C4966">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符合第二章“投标人须知”第1.3.3项规定</w:t>
            </w:r>
          </w:p>
        </w:tc>
      </w:tr>
      <w:tr w14:paraId="52AD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B03B71E">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5455DB01">
            <w:pPr>
              <w:snapToGrid w:val="0"/>
              <w:spacing w:line="300" w:lineRule="exact"/>
              <w:jc w:val="center"/>
              <w:rPr>
                <w:rFonts w:hint="eastAsia" w:ascii="宋体" w:hAnsi="宋体" w:cs="宋体"/>
                <w:sz w:val="21"/>
                <w:szCs w:val="21"/>
                <w:highlight w:val="none"/>
              </w:rPr>
            </w:pPr>
          </w:p>
        </w:tc>
        <w:tc>
          <w:tcPr>
            <w:tcW w:w="1575" w:type="dxa"/>
            <w:vAlign w:val="center"/>
          </w:tcPr>
          <w:p w14:paraId="50643CFA">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投标有效期</w:t>
            </w:r>
          </w:p>
        </w:tc>
        <w:tc>
          <w:tcPr>
            <w:tcW w:w="6310" w:type="dxa"/>
            <w:vAlign w:val="center"/>
          </w:tcPr>
          <w:p w14:paraId="3AF1C5E5">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符合第二章“投标人须知”第3.3项规定</w:t>
            </w:r>
          </w:p>
        </w:tc>
      </w:tr>
      <w:tr w14:paraId="67B0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145CE68">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7D6E80BC">
            <w:pPr>
              <w:snapToGrid w:val="0"/>
              <w:spacing w:line="300" w:lineRule="exact"/>
              <w:jc w:val="center"/>
              <w:rPr>
                <w:rFonts w:hint="eastAsia" w:ascii="宋体" w:hAnsi="宋体" w:cs="宋体"/>
                <w:sz w:val="21"/>
                <w:szCs w:val="21"/>
                <w:highlight w:val="none"/>
              </w:rPr>
            </w:pPr>
          </w:p>
        </w:tc>
        <w:tc>
          <w:tcPr>
            <w:tcW w:w="1575" w:type="dxa"/>
            <w:vAlign w:val="center"/>
          </w:tcPr>
          <w:p w14:paraId="12FC6BA8">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投标保证金</w:t>
            </w:r>
          </w:p>
        </w:tc>
        <w:tc>
          <w:tcPr>
            <w:tcW w:w="6310" w:type="dxa"/>
            <w:tcBorders>
              <w:bottom w:val="single" w:color="auto" w:sz="4" w:space="0"/>
            </w:tcBorders>
            <w:vAlign w:val="center"/>
          </w:tcPr>
          <w:p w14:paraId="33C4169C">
            <w:pPr>
              <w:pStyle w:val="16"/>
              <w:snapToGrid w:val="0"/>
              <w:spacing w:line="300" w:lineRule="exact"/>
              <w:rPr>
                <w:rFonts w:hint="eastAsia" w:ascii="宋体" w:hAnsi="宋体" w:cs="宋体"/>
                <w:spacing w:val="-2"/>
                <w:sz w:val="21"/>
                <w:szCs w:val="21"/>
                <w:highlight w:val="none"/>
              </w:rPr>
            </w:pPr>
            <w:r>
              <w:rPr>
                <w:rFonts w:hint="eastAsia" w:ascii="宋体" w:hAnsi="宋体" w:cs="宋体"/>
                <w:spacing w:val="-2"/>
                <w:sz w:val="21"/>
                <w:szCs w:val="21"/>
                <w:highlight w:val="none"/>
              </w:rPr>
              <w:t>符合第二章“投标人须知”第3.4.1项规定</w:t>
            </w:r>
          </w:p>
        </w:tc>
      </w:tr>
      <w:tr w14:paraId="0BC65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5F408E06">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5BBB5972">
            <w:pPr>
              <w:snapToGrid w:val="0"/>
              <w:spacing w:line="300" w:lineRule="exact"/>
              <w:jc w:val="center"/>
              <w:rPr>
                <w:rFonts w:hint="eastAsia" w:ascii="宋体" w:hAnsi="宋体" w:cs="宋体"/>
                <w:sz w:val="21"/>
                <w:szCs w:val="21"/>
                <w:highlight w:val="none"/>
              </w:rPr>
            </w:pPr>
          </w:p>
        </w:tc>
        <w:tc>
          <w:tcPr>
            <w:tcW w:w="1575" w:type="dxa"/>
            <w:vAlign w:val="center"/>
          </w:tcPr>
          <w:p w14:paraId="1866A20A">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投标响应</w:t>
            </w:r>
          </w:p>
        </w:tc>
        <w:tc>
          <w:tcPr>
            <w:tcW w:w="6310" w:type="dxa"/>
            <w:tcBorders>
              <w:bottom w:val="single" w:color="auto" w:sz="4" w:space="0"/>
            </w:tcBorders>
            <w:vAlign w:val="center"/>
          </w:tcPr>
          <w:p w14:paraId="7E28B233">
            <w:pPr>
              <w:pStyle w:val="16"/>
              <w:snapToGrid w:val="0"/>
              <w:spacing w:line="300" w:lineRule="exact"/>
              <w:rPr>
                <w:rFonts w:hint="eastAsia" w:ascii="宋体" w:hAnsi="宋体" w:cs="宋体"/>
                <w:spacing w:val="-2"/>
                <w:sz w:val="21"/>
                <w:szCs w:val="21"/>
                <w:highlight w:val="none"/>
              </w:rPr>
            </w:pPr>
            <w:r>
              <w:rPr>
                <w:rFonts w:ascii="宋体" w:hAnsi="宋体"/>
                <w:sz w:val="21"/>
                <w:szCs w:val="21"/>
                <w:highlight w:val="none"/>
              </w:rPr>
              <w:t>投标文件对招标文件的实质性要求和条件作出响应。</w:t>
            </w:r>
          </w:p>
        </w:tc>
      </w:tr>
      <w:tr w14:paraId="7194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jc w:val="center"/>
        </w:trPr>
        <w:tc>
          <w:tcPr>
            <w:tcW w:w="797" w:type="dxa"/>
            <w:vMerge w:val="continue"/>
            <w:vAlign w:val="center"/>
          </w:tcPr>
          <w:p w14:paraId="66B36100">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01C1F6F5">
            <w:pPr>
              <w:snapToGrid w:val="0"/>
              <w:spacing w:line="300" w:lineRule="exact"/>
              <w:jc w:val="center"/>
              <w:rPr>
                <w:rFonts w:hint="eastAsia" w:ascii="宋体" w:hAnsi="宋体" w:cs="宋体"/>
                <w:sz w:val="21"/>
                <w:szCs w:val="21"/>
                <w:highlight w:val="none"/>
              </w:rPr>
            </w:pPr>
          </w:p>
        </w:tc>
        <w:tc>
          <w:tcPr>
            <w:tcW w:w="1575" w:type="dxa"/>
            <w:tcBorders>
              <w:bottom w:val="single" w:color="auto" w:sz="4" w:space="0"/>
            </w:tcBorders>
            <w:vAlign w:val="center"/>
          </w:tcPr>
          <w:p w14:paraId="2BBC23C2">
            <w:pPr>
              <w:pStyle w:val="16"/>
              <w:snapToGrid w:val="0"/>
              <w:spacing w:line="300" w:lineRule="exact"/>
              <w:jc w:val="center"/>
              <w:rPr>
                <w:rFonts w:hint="eastAsia" w:ascii="宋体" w:hAnsi="宋体" w:cs="宋体"/>
                <w:sz w:val="21"/>
                <w:szCs w:val="21"/>
                <w:highlight w:val="none"/>
              </w:rPr>
            </w:pPr>
            <w:r>
              <w:rPr>
                <w:rFonts w:ascii="宋体" w:hAnsi="宋体"/>
                <w:sz w:val="21"/>
                <w:szCs w:val="21"/>
                <w:highlight w:val="none"/>
              </w:rPr>
              <w:t>权利义务符合招标文件规定</w:t>
            </w:r>
          </w:p>
        </w:tc>
        <w:tc>
          <w:tcPr>
            <w:tcW w:w="6310" w:type="dxa"/>
            <w:tcBorders>
              <w:bottom w:val="single" w:color="auto" w:sz="4" w:space="0"/>
            </w:tcBorders>
            <w:vAlign w:val="center"/>
          </w:tcPr>
          <w:p w14:paraId="505C0226">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2D8F9C2F">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b.投标人未增加发包人的责任范围，或减少投标人义务；</w:t>
            </w:r>
          </w:p>
          <w:p w14:paraId="4EC8A2F1">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c.投标人未提出不同的支付办法；</w:t>
            </w:r>
          </w:p>
          <w:p w14:paraId="1CC5A74E">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d.投标人对合同纠纷、事故处理办法未提出异议；</w:t>
            </w:r>
          </w:p>
          <w:p w14:paraId="1571E1A5">
            <w:pPr>
              <w:tabs>
                <w:tab w:val="left" w:pos="3060"/>
              </w:tabs>
              <w:snapToGrid w:val="0"/>
              <w:spacing w:line="300" w:lineRule="exact"/>
              <w:ind w:firstLine="210" w:firstLineChars="100"/>
              <w:rPr>
                <w:rFonts w:hint="eastAsia" w:ascii="宋体" w:hAnsi="宋体"/>
                <w:sz w:val="21"/>
                <w:szCs w:val="21"/>
                <w:highlight w:val="none"/>
              </w:rPr>
            </w:pPr>
            <w:r>
              <w:rPr>
                <w:rFonts w:ascii="宋体" w:hAnsi="宋体"/>
                <w:sz w:val="21"/>
                <w:szCs w:val="21"/>
                <w:highlight w:val="none"/>
              </w:rPr>
              <w:t>e.投标人在投标活动中无欺诈行为；</w:t>
            </w:r>
          </w:p>
          <w:p w14:paraId="740E36D7">
            <w:pPr>
              <w:tabs>
                <w:tab w:val="left" w:pos="3060"/>
              </w:tabs>
              <w:snapToGrid w:val="0"/>
              <w:spacing w:line="300" w:lineRule="exact"/>
              <w:ind w:firstLine="210" w:firstLineChars="100"/>
              <w:rPr>
                <w:rFonts w:hint="eastAsia" w:ascii="宋体" w:hAnsi="宋体" w:cs="宋体"/>
                <w:spacing w:val="-2"/>
                <w:sz w:val="21"/>
                <w:szCs w:val="21"/>
                <w:highlight w:val="none"/>
              </w:rPr>
            </w:pPr>
            <w:r>
              <w:rPr>
                <w:rFonts w:ascii="宋体" w:hAnsi="宋体"/>
                <w:sz w:val="21"/>
                <w:szCs w:val="21"/>
                <w:highlight w:val="none"/>
              </w:rPr>
              <w:t>f.投标人未对合同条款有重要保留。</w:t>
            </w:r>
          </w:p>
        </w:tc>
      </w:tr>
      <w:tr w14:paraId="2C0D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797" w:type="dxa"/>
            <w:vMerge w:val="continue"/>
            <w:vAlign w:val="center"/>
          </w:tcPr>
          <w:p w14:paraId="17FBE47E">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3CF24A5C">
            <w:pPr>
              <w:snapToGrid w:val="0"/>
              <w:spacing w:line="300" w:lineRule="exact"/>
              <w:jc w:val="center"/>
              <w:rPr>
                <w:rFonts w:hint="eastAsia" w:ascii="宋体" w:hAnsi="宋体" w:cs="宋体"/>
                <w:sz w:val="21"/>
                <w:szCs w:val="21"/>
                <w:highlight w:val="none"/>
              </w:rPr>
            </w:pPr>
          </w:p>
        </w:tc>
        <w:tc>
          <w:tcPr>
            <w:tcW w:w="1575" w:type="dxa"/>
            <w:tcBorders>
              <w:top w:val="single" w:color="auto" w:sz="4" w:space="0"/>
              <w:bottom w:val="single" w:color="auto" w:sz="4" w:space="0"/>
            </w:tcBorders>
            <w:vAlign w:val="center"/>
          </w:tcPr>
          <w:p w14:paraId="2CB651C2">
            <w:pPr>
              <w:pStyle w:val="16"/>
              <w:snapToGrid w:val="0"/>
              <w:spacing w:line="3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异常投标</w:t>
            </w:r>
          </w:p>
        </w:tc>
        <w:tc>
          <w:tcPr>
            <w:tcW w:w="6310" w:type="dxa"/>
            <w:tcBorders>
              <w:top w:val="single" w:color="auto" w:sz="4" w:space="0"/>
              <w:bottom w:val="single" w:color="auto" w:sz="4" w:space="0"/>
            </w:tcBorders>
            <w:vAlign w:val="center"/>
          </w:tcPr>
          <w:p w14:paraId="72841744">
            <w:pPr>
              <w:numPr>
                <w:ilvl w:val="0"/>
                <w:numId w:val="1"/>
              </w:numPr>
              <w:tabs>
                <w:tab w:val="left" w:pos="3060"/>
              </w:tabs>
              <w:snapToGrid w:val="0"/>
              <w:spacing w:line="300" w:lineRule="exact"/>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投标人不存在投标人须知前附表4.4(1)、(3)项规定的情形。</w:t>
            </w:r>
          </w:p>
          <w:p w14:paraId="6BF973E8">
            <w:pPr>
              <w:numPr>
                <w:ilvl w:val="0"/>
                <w:numId w:val="1"/>
              </w:numPr>
              <w:tabs>
                <w:tab w:val="left" w:pos="3060"/>
              </w:tabs>
              <w:snapToGrid w:val="0"/>
              <w:spacing w:line="300" w:lineRule="exact"/>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投标人不存在因投标人须知前附表4.4(2)项规定的情形被评标委员会认定为</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910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797" w:type="dxa"/>
            <w:vMerge w:val="continue"/>
            <w:vAlign w:val="center"/>
          </w:tcPr>
          <w:p w14:paraId="5B901921">
            <w:pPr>
              <w:snapToGrid w:val="0"/>
              <w:spacing w:line="300" w:lineRule="exact"/>
              <w:jc w:val="center"/>
              <w:rPr>
                <w:rFonts w:hint="eastAsia" w:ascii="宋体" w:hAnsi="宋体" w:cs="宋体"/>
                <w:sz w:val="21"/>
                <w:szCs w:val="21"/>
                <w:highlight w:val="none"/>
              </w:rPr>
            </w:pPr>
          </w:p>
        </w:tc>
        <w:tc>
          <w:tcPr>
            <w:tcW w:w="975" w:type="dxa"/>
            <w:vMerge w:val="continue"/>
            <w:tcBorders>
              <w:bottom w:val="single" w:color="auto" w:sz="4" w:space="0"/>
            </w:tcBorders>
            <w:vAlign w:val="center"/>
          </w:tcPr>
          <w:p w14:paraId="31664AE5">
            <w:pPr>
              <w:snapToGrid w:val="0"/>
              <w:spacing w:line="300" w:lineRule="exact"/>
              <w:jc w:val="center"/>
              <w:rPr>
                <w:rFonts w:hint="eastAsia" w:ascii="宋体" w:hAnsi="宋体" w:cs="宋体"/>
                <w:sz w:val="21"/>
                <w:szCs w:val="21"/>
                <w:highlight w:val="none"/>
              </w:rPr>
            </w:pPr>
          </w:p>
        </w:tc>
        <w:tc>
          <w:tcPr>
            <w:tcW w:w="1575" w:type="dxa"/>
            <w:tcBorders>
              <w:top w:val="single" w:color="auto" w:sz="4" w:space="0"/>
              <w:bottom w:val="single" w:color="auto" w:sz="4" w:space="0"/>
            </w:tcBorders>
            <w:vAlign w:val="center"/>
          </w:tcPr>
          <w:p w14:paraId="0E0D007E">
            <w:pPr>
              <w:pStyle w:val="16"/>
              <w:snapToGrid w:val="0"/>
              <w:spacing w:line="3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异常低价</w:t>
            </w:r>
          </w:p>
        </w:tc>
        <w:tc>
          <w:tcPr>
            <w:tcW w:w="6310" w:type="dxa"/>
            <w:tcBorders>
              <w:top w:val="single" w:color="auto" w:sz="4" w:space="0"/>
              <w:bottom w:val="single" w:color="auto" w:sz="4" w:space="0"/>
            </w:tcBorders>
            <w:vAlign w:val="center"/>
          </w:tcPr>
          <w:p w14:paraId="2B30EEDD">
            <w:pPr>
              <w:tabs>
                <w:tab w:val="left" w:pos="3060"/>
              </w:tabs>
              <w:snapToGrid w:val="0"/>
              <w:spacing w:line="300" w:lineRule="exact"/>
              <w:rPr>
                <w:rFonts w:ascii="宋体" w:hAnsi="宋体"/>
                <w:sz w:val="21"/>
                <w:szCs w:val="21"/>
                <w:highlight w:val="none"/>
              </w:rPr>
            </w:pPr>
            <w:r>
              <w:rPr>
                <w:rFonts w:hint="eastAsia" w:ascii="宋体" w:hAnsi="宋体"/>
                <w:bCs/>
                <w:color w:val="000000" w:themeColor="text1"/>
                <w:sz w:val="21"/>
                <w:szCs w:val="21"/>
                <w:highlight w:val="none"/>
                <w:lang w:eastAsia="zh-CN"/>
                <w14:textFill>
                  <w14:solidFill>
                    <w14:schemeClr w14:val="tx1"/>
                  </w14:solidFill>
                </w14:textFill>
              </w:rPr>
              <w:t>投标人不存在因投标人须知前附表3.2.5项规定被评标委员会认定为低于成本或影响履约的异常低价竞标的情形。</w:t>
            </w:r>
          </w:p>
        </w:tc>
      </w:tr>
      <w:tr w14:paraId="0833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08015E84">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条款号</w:t>
            </w:r>
          </w:p>
        </w:tc>
        <w:tc>
          <w:tcPr>
            <w:tcW w:w="1575" w:type="dxa"/>
            <w:vAlign w:val="center"/>
          </w:tcPr>
          <w:p w14:paraId="604A6D79">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条款内容</w:t>
            </w:r>
          </w:p>
        </w:tc>
        <w:tc>
          <w:tcPr>
            <w:tcW w:w="6310" w:type="dxa"/>
            <w:vAlign w:val="center"/>
          </w:tcPr>
          <w:p w14:paraId="4CC4DC42">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编列内容</w:t>
            </w:r>
          </w:p>
        </w:tc>
      </w:tr>
      <w:tr w14:paraId="25EF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1114D9AE">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2.2.1</w:t>
            </w:r>
          </w:p>
        </w:tc>
        <w:tc>
          <w:tcPr>
            <w:tcW w:w="1575" w:type="dxa"/>
            <w:vAlign w:val="center"/>
          </w:tcPr>
          <w:p w14:paraId="282DABCF">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分值构成</w:t>
            </w:r>
          </w:p>
          <w:p w14:paraId="664F172D">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14"/>
                <w:sz w:val="21"/>
                <w:szCs w:val="21"/>
                <w:highlight w:val="none"/>
              </w:rPr>
              <w:t>(总分</w:t>
            </w:r>
            <w:r>
              <w:rPr>
                <w:rFonts w:hint="eastAsia" w:ascii="宋体" w:hAnsi="宋体" w:cs="宋体"/>
                <w:sz w:val="21"/>
                <w:szCs w:val="21"/>
                <w:highlight w:val="none"/>
              </w:rPr>
              <w:t>100</w:t>
            </w:r>
            <w:r>
              <w:rPr>
                <w:rFonts w:hint="eastAsia" w:ascii="宋体" w:hAnsi="宋体" w:cs="宋体"/>
                <w:spacing w:val="-18"/>
                <w:sz w:val="21"/>
                <w:szCs w:val="21"/>
                <w:highlight w:val="none"/>
              </w:rPr>
              <w:t>分)</w:t>
            </w:r>
          </w:p>
        </w:tc>
        <w:tc>
          <w:tcPr>
            <w:tcW w:w="6310" w:type="dxa"/>
            <w:vAlign w:val="center"/>
          </w:tcPr>
          <w:p w14:paraId="57D8DEB9">
            <w:pPr>
              <w:pStyle w:val="16"/>
              <w:snapToGrid w:val="0"/>
              <w:spacing w:line="300" w:lineRule="exact"/>
              <w:rPr>
                <w:rFonts w:hint="eastAsia" w:ascii="宋体" w:hAnsi="宋体" w:eastAsia="宋体" w:cs="宋体"/>
                <w:spacing w:val="-27"/>
                <w:sz w:val="21"/>
                <w:szCs w:val="21"/>
                <w:highlight w:val="none"/>
              </w:rPr>
            </w:pPr>
            <w:r>
              <w:rPr>
                <w:rFonts w:hint="eastAsia" w:ascii="宋体" w:hAnsi="宋体" w:eastAsia="宋体" w:cs="宋体"/>
                <w:kern w:val="0"/>
                <w:sz w:val="21"/>
                <w:szCs w:val="21"/>
                <w:highlight w:val="none"/>
                <w:lang w:val="en-US" w:eastAsia="zh-CN"/>
              </w:rPr>
              <w:t>实施</w:t>
            </w:r>
            <w:r>
              <w:rPr>
                <w:rFonts w:hint="eastAsia" w:ascii="宋体" w:hAnsi="宋体" w:eastAsia="宋体" w:cs="宋体"/>
                <w:kern w:val="0"/>
                <w:sz w:val="21"/>
                <w:szCs w:val="21"/>
                <w:highlight w:val="none"/>
              </w:rPr>
              <w:t>方案</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hint="eastAsia" w:ascii="宋体" w:hAnsi="宋体" w:eastAsia="宋体" w:cs="宋体"/>
                <w:spacing w:val="-27"/>
                <w:sz w:val="21"/>
                <w:szCs w:val="21"/>
                <w:highlight w:val="none"/>
              </w:rPr>
              <w:t>分</w:t>
            </w:r>
          </w:p>
          <w:p w14:paraId="77D2BED1">
            <w:pPr>
              <w:pStyle w:val="16"/>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r>
              <w:rPr>
                <w:rFonts w:hint="eastAsia" w:ascii="宋体" w:hAnsi="宋体" w:eastAsia="宋体" w:cs="宋体"/>
                <w:sz w:val="21"/>
                <w:szCs w:val="21"/>
                <w:highlight w:val="none"/>
                <w:u w:val="single" w:color="auto"/>
              </w:rPr>
              <w:t>1</w:t>
            </w:r>
            <w:r>
              <w:rPr>
                <w:rFonts w:hint="eastAsia" w:ascii="宋体" w:hAnsi="宋体" w:eastAsia="宋体" w:cs="宋体"/>
                <w:sz w:val="21"/>
                <w:szCs w:val="21"/>
                <w:highlight w:val="none"/>
                <w:u w:val="single" w:color="auto"/>
                <w:lang w:val="en-US" w:eastAsia="zh-CN"/>
              </w:rPr>
              <w:t>0</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分</w:t>
            </w:r>
          </w:p>
          <w:p w14:paraId="5C00F875">
            <w:pPr>
              <w:pStyle w:val="16"/>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0</w:t>
            </w:r>
            <w:r>
              <w:rPr>
                <w:rFonts w:hint="eastAsia" w:ascii="宋体" w:hAnsi="宋体" w:eastAsia="宋体" w:cs="宋体"/>
                <w:spacing w:val="-27"/>
                <w:sz w:val="21"/>
                <w:szCs w:val="21"/>
                <w:highlight w:val="none"/>
              </w:rPr>
              <w:t>分</w:t>
            </w:r>
          </w:p>
          <w:p w14:paraId="62D6D2FB">
            <w:pPr>
              <w:pStyle w:val="16"/>
              <w:snapToGrid w:val="0"/>
              <w:spacing w:line="300" w:lineRule="exact"/>
              <w:rPr>
                <w:rFonts w:hint="eastAsia" w:ascii="宋体" w:hAnsi="宋体" w:cs="宋体"/>
                <w:sz w:val="21"/>
                <w:szCs w:val="21"/>
                <w:highlight w:val="none"/>
              </w:rPr>
            </w:pPr>
            <w:r>
              <w:rPr>
                <w:rFonts w:hint="eastAsia" w:ascii="宋体" w:hAnsi="宋体" w:eastAsia="宋体" w:cs="宋体"/>
                <w:sz w:val="21"/>
                <w:szCs w:val="21"/>
                <w:highlight w:val="none"/>
              </w:rPr>
              <w:t>其他评分因素：</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r>
      <w:tr w14:paraId="79D4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20186063">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2.2.2</w:t>
            </w:r>
          </w:p>
        </w:tc>
        <w:tc>
          <w:tcPr>
            <w:tcW w:w="1575" w:type="dxa"/>
            <w:vAlign w:val="center"/>
          </w:tcPr>
          <w:p w14:paraId="6BC3A98D">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评标基准价计算方法</w:t>
            </w:r>
          </w:p>
        </w:tc>
        <w:tc>
          <w:tcPr>
            <w:tcW w:w="6310" w:type="dxa"/>
            <w:vAlign w:val="center"/>
          </w:tcPr>
          <w:p w14:paraId="4FA8DA99">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评标基准价的计算：</w:t>
            </w:r>
          </w:p>
          <w:p w14:paraId="799F6DE6">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在开标现场，招标人将当场计算并宣布评标基准价。</w:t>
            </w:r>
          </w:p>
          <w:p w14:paraId="1016DD4C">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（1）评标价的确定：</w:t>
            </w:r>
          </w:p>
          <w:p w14:paraId="076B96C8">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评标价=投标函文字报价</w:t>
            </w:r>
          </w:p>
          <w:p w14:paraId="5AFAF95B">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（2）评标价平均值的计算：</w:t>
            </w:r>
          </w:p>
          <w:p w14:paraId="077C18E5">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除按第二章“投标人须知”第5.2.2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09C468A">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（3）评标基准价的确定：</w:t>
            </w:r>
          </w:p>
          <w:p w14:paraId="000A3C21">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将评标价平均值直接作为评标基准价（评标基准价保留小数点后两位，小数点后第三位四舍五入）。</w:t>
            </w:r>
          </w:p>
          <w:p w14:paraId="5C8B824A">
            <w:pPr>
              <w:pStyle w:val="16"/>
              <w:snapToGrid w:val="0"/>
              <w:spacing w:line="300" w:lineRule="exact"/>
              <w:rPr>
                <w:rFonts w:hint="eastAsia" w:ascii="宋体" w:hAnsi="宋体" w:cs="宋体"/>
                <w:spacing w:val="-9"/>
                <w:sz w:val="21"/>
                <w:szCs w:val="21"/>
                <w:highlight w:val="none"/>
              </w:rPr>
            </w:pPr>
            <w:r>
              <w:rPr>
                <w:rFonts w:hint="eastAsia" w:ascii="宋体" w:hAnsi="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68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60C611D7">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2.2.3</w:t>
            </w:r>
          </w:p>
        </w:tc>
        <w:tc>
          <w:tcPr>
            <w:tcW w:w="1575" w:type="dxa"/>
            <w:vAlign w:val="center"/>
          </w:tcPr>
          <w:p w14:paraId="08FD83B1">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投标报价的偏差率计算公式</w:t>
            </w:r>
          </w:p>
        </w:tc>
        <w:tc>
          <w:tcPr>
            <w:tcW w:w="6310" w:type="dxa"/>
            <w:vAlign w:val="center"/>
          </w:tcPr>
          <w:p w14:paraId="1D65C41A">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w:t>
            </w:r>
          </w:p>
        </w:tc>
      </w:tr>
      <w:tr w14:paraId="6B86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4F3FA254">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条款号</w:t>
            </w:r>
          </w:p>
        </w:tc>
        <w:tc>
          <w:tcPr>
            <w:tcW w:w="1575" w:type="dxa"/>
            <w:vAlign w:val="center"/>
          </w:tcPr>
          <w:p w14:paraId="09CAF139">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评分因素</w:t>
            </w:r>
          </w:p>
        </w:tc>
        <w:tc>
          <w:tcPr>
            <w:tcW w:w="6310" w:type="dxa"/>
            <w:vAlign w:val="center"/>
          </w:tcPr>
          <w:p w14:paraId="4A4DF1A3">
            <w:pPr>
              <w:pStyle w:val="16"/>
              <w:snapToGrid w:val="0"/>
              <w:spacing w:line="300" w:lineRule="exact"/>
              <w:jc w:val="center"/>
              <w:rPr>
                <w:rFonts w:hint="eastAsia" w:ascii="宋体" w:hAnsi="宋体" w:cs="宋体"/>
                <w:b/>
                <w:sz w:val="21"/>
                <w:szCs w:val="21"/>
                <w:highlight w:val="none"/>
              </w:rPr>
            </w:pPr>
            <w:r>
              <w:rPr>
                <w:rFonts w:hint="eastAsia" w:ascii="宋体" w:hAnsi="宋体" w:cs="宋体"/>
                <w:b/>
                <w:sz w:val="21"/>
                <w:szCs w:val="21"/>
                <w:highlight w:val="none"/>
              </w:rPr>
              <w:t>评分标准</w:t>
            </w:r>
          </w:p>
        </w:tc>
      </w:tr>
      <w:tr w14:paraId="450AF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797" w:type="dxa"/>
            <w:vMerge w:val="restart"/>
            <w:vAlign w:val="center"/>
          </w:tcPr>
          <w:p w14:paraId="4A8513F0">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2.2.4</w:t>
            </w:r>
          </w:p>
          <w:p w14:paraId="7580C21A">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975" w:type="dxa"/>
            <w:vMerge w:val="restart"/>
            <w:vAlign w:val="center"/>
          </w:tcPr>
          <w:p w14:paraId="75E86020">
            <w:pPr>
              <w:pStyle w:val="16"/>
              <w:snapToGrid w:val="0"/>
              <w:spacing w:line="300" w:lineRule="exact"/>
              <w:jc w:val="center"/>
              <w:rPr>
                <w:rFonts w:hint="eastAsia" w:ascii="宋体" w:hAnsi="宋体" w:cs="宋体"/>
                <w:b/>
                <w:bCs/>
                <w:sz w:val="21"/>
                <w:szCs w:val="21"/>
                <w:highlight w:val="none"/>
              </w:rPr>
            </w:pPr>
            <w:r>
              <w:rPr>
                <w:rFonts w:hint="eastAsia" w:ascii="宋体" w:hAnsi="宋体" w:cs="宋体"/>
                <w:sz w:val="21"/>
                <w:szCs w:val="21"/>
                <w:highlight w:val="none"/>
              </w:rPr>
              <w:t>实施方案</w:t>
            </w:r>
            <w:r>
              <w:rPr>
                <w:rFonts w:hint="eastAsia" w:ascii="宋体" w:hAnsi="宋体" w:cs="宋体"/>
                <w:spacing w:val="-5"/>
                <w:sz w:val="21"/>
                <w:szCs w:val="21"/>
                <w:highlight w:val="none"/>
              </w:rPr>
              <w:t>评分标准（</w:t>
            </w:r>
            <w:r>
              <w:rPr>
                <w:rFonts w:hint="eastAsia" w:ascii="宋体" w:hAnsi="宋体" w:cs="宋体"/>
                <w:spacing w:val="-5"/>
                <w:sz w:val="21"/>
                <w:szCs w:val="21"/>
                <w:highlight w:val="none"/>
                <w:lang w:val="en-US" w:eastAsia="zh-CN"/>
              </w:rPr>
              <w:t>3</w:t>
            </w:r>
            <w:r>
              <w:rPr>
                <w:rFonts w:hint="eastAsia" w:ascii="宋体" w:hAnsi="宋体" w:cs="宋体"/>
                <w:spacing w:val="-5"/>
                <w:sz w:val="21"/>
                <w:szCs w:val="21"/>
                <w:highlight w:val="none"/>
              </w:rPr>
              <w:t>0分）</w:t>
            </w:r>
          </w:p>
        </w:tc>
        <w:tc>
          <w:tcPr>
            <w:tcW w:w="1575" w:type="dxa"/>
            <w:vAlign w:val="center"/>
          </w:tcPr>
          <w:p w14:paraId="3B75CBE7">
            <w:pPr>
              <w:snapToGrid w:val="0"/>
              <w:spacing w:line="240" w:lineRule="atLeast"/>
              <w:jc w:val="center"/>
              <w:rPr>
                <w:rFonts w:hint="eastAsia" w:ascii="宋体" w:hAnsi="宋体"/>
                <w:color w:val="000000"/>
                <w:sz w:val="21"/>
                <w:szCs w:val="21"/>
                <w:highlight w:val="none"/>
              </w:rPr>
            </w:pPr>
            <w:r>
              <w:rPr>
                <w:rFonts w:hint="eastAsia" w:ascii="宋体" w:hAnsi="宋体"/>
                <w:color w:val="000000"/>
                <w:sz w:val="21"/>
                <w:szCs w:val="21"/>
                <w:highlight w:val="none"/>
                <w:lang w:eastAsia="zh-CN"/>
              </w:rPr>
              <w:t>整体实施方</w:t>
            </w:r>
            <w:r>
              <w:rPr>
                <w:rFonts w:hint="eastAsia" w:ascii="宋体" w:hAnsi="宋体"/>
                <w:color w:val="000000"/>
                <w:sz w:val="21"/>
                <w:szCs w:val="21"/>
                <w:highlight w:val="none"/>
              </w:rPr>
              <w:t>案</w:t>
            </w:r>
          </w:p>
          <w:p w14:paraId="57E4B1BD">
            <w:pPr>
              <w:snapToGrid w:val="0"/>
              <w:spacing w:line="240" w:lineRule="atLeast"/>
              <w:jc w:val="center"/>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15分</w:t>
            </w:r>
            <w:r>
              <w:rPr>
                <w:rFonts w:hint="eastAsia" w:ascii="宋体" w:hAnsi="宋体"/>
                <w:color w:val="000000"/>
                <w:sz w:val="21"/>
                <w:szCs w:val="21"/>
                <w:highlight w:val="none"/>
                <w:lang w:eastAsia="zh-CN"/>
              </w:rPr>
              <w:t>）</w:t>
            </w:r>
          </w:p>
        </w:tc>
        <w:tc>
          <w:tcPr>
            <w:tcW w:w="6310" w:type="dxa"/>
            <w:vAlign w:val="center"/>
          </w:tcPr>
          <w:p w14:paraId="3C63DAE3">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1.整体实施方案科学、合理、详尽，可行性强，得</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15</w:t>
            </w:r>
            <w:r>
              <w:rPr>
                <w:rFonts w:hint="eastAsia" w:ascii="宋体" w:hAnsi="宋体"/>
                <w:color w:val="000000"/>
                <w:sz w:val="21"/>
                <w:szCs w:val="21"/>
                <w:highlight w:val="none"/>
                <w:lang w:eastAsia="zh-CN"/>
              </w:rPr>
              <w:t>.0分；</w:t>
            </w:r>
          </w:p>
          <w:p w14:paraId="7C4DE91D">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2.整体实施方案较科学、较合理、较详尽，可行性较强，得</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.0分；</w:t>
            </w:r>
          </w:p>
          <w:p w14:paraId="5056470B">
            <w:pPr>
              <w:widowControl/>
              <w:snapToGrid w:val="0"/>
              <w:spacing w:line="240" w:lineRule="atLeast"/>
              <w:rPr>
                <w:rFonts w:hint="eastAsia" w:ascii="宋体" w:hAnsi="宋体" w:eastAsia="宋体" w:cs="宋体"/>
                <w:sz w:val="21"/>
                <w:szCs w:val="21"/>
                <w:highlight w:val="none"/>
              </w:rPr>
            </w:pPr>
            <w:r>
              <w:rPr>
                <w:rFonts w:hint="eastAsia" w:ascii="宋体" w:hAnsi="宋体"/>
                <w:color w:val="000000"/>
                <w:sz w:val="21"/>
                <w:szCs w:val="21"/>
                <w:highlight w:val="none"/>
                <w:lang w:eastAsia="zh-CN"/>
              </w:rPr>
              <w:t>3.整体实施方案基本合理，可行性一般，得</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lang w:eastAsia="zh-CN"/>
              </w:rPr>
              <w:t>.0分；</w:t>
            </w:r>
          </w:p>
        </w:tc>
      </w:tr>
      <w:tr w14:paraId="598E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1AF4F616">
            <w:pPr>
              <w:snapToGrid w:val="0"/>
              <w:spacing w:line="300" w:lineRule="exact"/>
              <w:jc w:val="center"/>
              <w:rPr>
                <w:rFonts w:hint="eastAsia" w:ascii="宋体" w:hAnsi="宋体" w:cs="宋体"/>
                <w:sz w:val="21"/>
                <w:szCs w:val="21"/>
                <w:highlight w:val="none"/>
              </w:rPr>
            </w:pPr>
          </w:p>
        </w:tc>
        <w:tc>
          <w:tcPr>
            <w:tcW w:w="975" w:type="dxa"/>
            <w:vMerge w:val="continue"/>
            <w:vAlign w:val="center"/>
          </w:tcPr>
          <w:p w14:paraId="474ED19D">
            <w:pPr>
              <w:snapToGrid w:val="0"/>
              <w:spacing w:line="300" w:lineRule="exact"/>
              <w:jc w:val="center"/>
              <w:rPr>
                <w:rFonts w:hint="eastAsia" w:ascii="宋体" w:hAnsi="宋体" w:cs="宋体"/>
                <w:sz w:val="21"/>
                <w:szCs w:val="21"/>
                <w:highlight w:val="none"/>
              </w:rPr>
            </w:pPr>
          </w:p>
        </w:tc>
        <w:tc>
          <w:tcPr>
            <w:tcW w:w="1575" w:type="dxa"/>
            <w:vAlign w:val="center"/>
          </w:tcPr>
          <w:p w14:paraId="7DADB93D">
            <w:pPr>
              <w:widowControl/>
              <w:snapToGrid w:val="0"/>
              <w:spacing w:line="240" w:lineRule="atLeast"/>
              <w:jc w:val="center"/>
              <w:rPr>
                <w:rFonts w:hint="eastAsia" w:ascii="宋体" w:hAnsi="宋体"/>
                <w:color w:val="000000"/>
                <w:sz w:val="21"/>
                <w:szCs w:val="21"/>
                <w:highlight w:val="none"/>
              </w:rPr>
            </w:pPr>
            <w:r>
              <w:rPr>
                <w:rFonts w:hint="eastAsia" w:cs="宋体" w:asciiTheme="majorEastAsia" w:hAnsiTheme="majorEastAsia" w:eastAsiaTheme="majorEastAsia"/>
                <w:szCs w:val="21"/>
                <w:highlight w:val="none"/>
              </w:rPr>
              <w:t>项目合理化建议</w:t>
            </w:r>
          </w:p>
          <w:p w14:paraId="5E5D423F">
            <w:pPr>
              <w:widowControl/>
              <w:snapToGrid w:val="0"/>
              <w:spacing w:line="240" w:lineRule="atLeast"/>
              <w:jc w:val="center"/>
              <w:rPr>
                <w:rFonts w:hint="eastAsia" w:ascii="宋体" w:hAnsi="宋体" w:eastAsia="宋体" w:cs="宋体"/>
                <w:spacing w:val="-1"/>
                <w:sz w:val="21"/>
                <w:szCs w:val="21"/>
                <w:highlight w:val="none"/>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5分</w:t>
            </w:r>
            <w:r>
              <w:rPr>
                <w:rFonts w:hint="eastAsia" w:ascii="宋体" w:hAnsi="宋体"/>
                <w:color w:val="000000"/>
                <w:sz w:val="21"/>
                <w:szCs w:val="21"/>
                <w:highlight w:val="none"/>
                <w:lang w:eastAsia="zh-CN"/>
              </w:rPr>
              <w:t>）</w:t>
            </w:r>
          </w:p>
        </w:tc>
        <w:tc>
          <w:tcPr>
            <w:tcW w:w="6310" w:type="dxa"/>
            <w:vAlign w:val="center"/>
          </w:tcPr>
          <w:p w14:paraId="1E9D124A">
            <w:pPr>
              <w:adjustRightInd w:val="0"/>
              <w:snapToGrid w:val="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在满足方案业务要求和功能要求的基础上，进一步的拓展、优化和提升，能够站在招标人的角度，提出具有建设性的合理化建议，建议可靠、合理，可实施性强，得4.1-5.0分；</w:t>
            </w:r>
          </w:p>
          <w:p w14:paraId="4783DED9">
            <w:pPr>
              <w:adjustRightInd w:val="0"/>
              <w:snapToGrid w:val="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在满足方案业务要求和功能要求的基础上，进一步优化，方案较为可行、建议措施可实施性较好，得3.1-4.0分；</w:t>
            </w:r>
          </w:p>
          <w:p w14:paraId="16E4729F">
            <w:pPr>
              <w:adjustRightInd w:val="0"/>
              <w:snapToGrid w:val="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在满足方案业务要求和功能要求的基础上，有方案优化的，</w:t>
            </w:r>
          </w:p>
          <w:p w14:paraId="55B6AEE0">
            <w:pPr>
              <w:widowControl/>
              <w:snapToGrid w:val="0"/>
              <w:spacing w:line="240" w:lineRule="atLeast"/>
              <w:rPr>
                <w:rFonts w:hint="eastAsia" w:ascii="宋体" w:hAnsi="宋体" w:eastAsia="宋体" w:cs="Times New Roman"/>
                <w:color w:val="000000"/>
                <w:sz w:val="21"/>
                <w:szCs w:val="21"/>
                <w:highlight w:val="none"/>
                <w:lang w:eastAsia="zh-CN"/>
              </w:rPr>
            </w:pPr>
            <w:r>
              <w:rPr>
                <w:rFonts w:hint="eastAsia" w:ascii="宋体" w:hAnsi="宋体"/>
                <w:color w:val="auto"/>
                <w:sz w:val="21"/>
                <w:szCs w:val="21"/>
                <w:highlight w:val="none"/>
                <w:lang w:eastAsia="zh-CN"/>
              </w:rPr>
              <w:t>建议基本可行，可实施性一般，得3.0分；</w:t>
            </w:r>
          </w:p>
        </w:tc>
      </w:tr>
      <w:tr w14:paraId="35EB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797" w:type="dxa"/>
            <w:vMerge w:val="continue"/>
            <w:vAlign w:val="center"/>
          </w:tcPr>
          <w:p w14:paraId="785E64AE">
            <w:pPr>
              <w:pStyle w:val="16"/>
              <w:snapToGrid w:val="0"/>
              <w:spacing w:line="300" w:lineRule="exact"/>
              <w:jc w:val="center"/>
              <w:rPr>
                <w:rFonts w:hint="eastAsia" w:ascii="宋体" w:hAnsi="宋体" w:cs="宋体"/>
                <w:sz w:val="21"/>
                <w:szCs w:val="21"/>
                <w:highlight w:val="none"/>
              </w:rPr>
            </w:pPr>
          </w:p>
        </w:tc>
        <w:tc>
          <w:tcPr>
            <w:tcW w:w="975" w:type="dxa"/>
            <w:vMerge w:val="continue"/>
            <w:vAlign w:val="center"/>
          </w:tcPr>
          <w:p w14:paraId="25C23E14">
            <w:pPr>
              <w:pStyle w:val="16"/>
              <w:snapToGrid w:val="0"/>
              <w:spacing w:line="300" w:lineRule="exact"/>
              <w:jc w:val="center"/>
              <w:rPr>
                <w:rFonts w:hint="eastAsia" w:ascii="宋体" w:hAnsi="宋体" w:cs="宋体"/>
                <w:sz w:val="21"/>
                <w:szCs w:val="21"/>
                <w:highlight w:val="none"/>
              </w:rPr>
            </w:pPr>
          </w:p>
        </w:tc>
        <w:tc>
          <w:tcPr>
            <w:tcW w:w="1575" w:type="dxa"/>
            <w:vAlign w:val="center"/>
          </w:tcPr>
          <w:p w14:paraId="52D417E4">
            <w:pPr>
              <w:snapToGrid w:val="0"/>
              <w:spacing w:line="240" w:lineRule="atLeast"/>
              <w:jc w:val="center"/>
              <w:rPr>
                <w:rFonts w:hint="eastAsia" w:ascii="宋体" w:hAnsi="宋体" w:eastAsia="宋体" w:cs="宋体"/>
                <w:kern w:val="0"/>
                <w:sz w:val="21"/>
                <w:szCs w:val="21"/>
                <w:highlight w:val="none"/>
                <w:lang w:bidi="ar"/>
              </w:rPr>
            </w:pPr>
            <w:r>
              <w:rPr>
                <w:rFonts w:hint="eastAsia" w:asciiTheme="majorEastAsia" w:hAnsiTheme="majorEastAsia" w:eastAsiaTheme="majorEastAsia"/>
                <w:szCs w:val="21"/>
                <w:highlight w:val="none"/>
              </w:rPr>
              <w:t>工作计划与进度安排及保障措施</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5分</w:t>
            </w:r>
            <w:r>
              <w:rPr>
                <w:rFonts w:hint="eastAsia" w:ascii="宋体" w:hAnsi="宋体"/>
                <w:color w:val="000000"/>
                <w:sz w:val="21"/>
                <w:szCs w:val="21"/>
                <w:highlight w:val="none"/>
                <w:lang w:eastAsia="zh-CN"/>
              </w:rPr>
              <w:t>）</w:t>
            </w:r>
          </w:p>
        </w:tc>
        <w:tc>
          <w:tcPr>
            <w:tcW w:w="6310" w:type="dxa"/>
            <w:vAlign w:val="center"/>
          </w:tcPr>
          <w:p w14:paraId="6F5143EF">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lang w:eastAsia="zh-CN"/>
              </w:rPr>
              <w:t>计划进度安排及保证措施安排合理、科学、可行，得4.1-5.0分；</w:t>
            </w:r>
          </w:p>
          <w:p w14:paraId="36D83745">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2.</w:t>
            </w:r>
            <w:r>
              <w:rPr>
                <w:rFonts w:hint="eastAsia" w:ascii="宋体" w:hAnsi="宋体" w:eastAsia="宋体" w:cs="Times New Roman"/>
                <w:color w:val="000000"/>
                <w:sz w:val="21"/>
                <w:szCs w:val="21"/>
                <w:highlight w:val="none"/>
                <w:lang w:eastAsia="zh-CN"/>
              </w:rPr>
              <w:t>计划进度安排及保证措施安排基本合理、可行，得3.1-4.0分；</w:t>
            </w:r>
          </w:p>
          <w:p w14:paraId="7852982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eastAsia="zh-CN"/>
              </w:rPr>
              <w:t>计划进度安排及保证措施安排一般，得3.0分；</w:t>
            </w:r>
          </w:p>
        </w:tc>
      </w:tr>
      <w:tr w14:paraId="377E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105CC018">
            <w:pPr>
              <w:pStyle w:val="16"/>
              <w:snapToGrid w:val="0"/>
              <w:spacing w:line="300" w:lineRule="exact"/>
              <w:jc w:val="center"/>
              <w:rPr>
                <w:rFonts w:hint="eastAsia" w:ascii="宋体" w:hAnsi="宋体" w:cs="宋体"/>
                <w:sz w:val="21"/>
                <w:szCs w:val="21"/>
                <w:highlight w:val="none"/>
              </w:rPr>
            </w:pPr>
          </w:p>
        </w:tc>
        <w:tc>
          <w:tcPr>
            <w:tcW w:w="975" w:type="dxa"/>
            <w:vMerge w:val="continue"/>
            <w:vAlign w:val="center"/>
          </w:tcPr>
          <w:p w14:paraId="3342EB6F">
            <w:pPr>
              <w:pStyle w:val="16"/>
              <w:snapToGrid w:val="0"/>
              <w:spacing w:line="300" w:lineRule="exact"/>
              <w:jc w:val="center"/>
              <w:rPr>
                <w:rFonts w:hint="eastAsia" w:ascii="宋体" w:hAnsi="宋体" w:cs="宋体"/>
                <w:sz w:val="21"/>
                <w:szCs w:val="21"/>
                <w:highlight w:val="none"/>
              </w:rPr>
            </w:pPr>
          </w:p>
        </w:tc>
        <w:tc>
          <w:tcPr>
            <w:tcW w:w="1575" w:type="dxa"/>
            <w:vAlign w:val="center"/>
          </w:tcPr>
          <w:p w14:paraId="36FC9328">
            <w:pPr>
              <w:snapToGrid w:val="0"/>
              <w:spacing w:line="240" w:lineRule="atLeast"/>
              <w:jc w:val="center"/>
              <w:rPr>
                <w:rFonts w:hint="eastAsia" w:ascii="宋体" w:hAnsi="宋体" w:eastAsia="宋体" w:cs="宋体"/>
                <w:kern w:val="0"/>
                <w:sz w:val="21"/>
                <w:szCs w:val="21"/>
                <w:highlight w:val="none"/>
                <w:lang w:bidi="ar"/>
              </w:rPr>
            </w:pPr>
            <w:r>
              <w:rPr>
                <w:rFonts w:hint="eastAsia" w:cs="宋体" w:asciiTheme="majorEastAsia" w:hAnsiTheme="majorEastAsia" w:eastAsiaTheme="majorEastAsia"/>
                <w:kern w:val="0"/>
                <w:szCs w:val="21"/>
                <w:highlight w:val="none"/>
              </w:rPr>
              <w:t>质量、安全</w:t>
            </w:r>
            <w:r>
              <w:rPr>
                <w:rFonts w:hint="eastAsia" w:cs="宋体" w:asciiTheme="majorEastAsia" w:hAnsiTheme="majorEastAsia" w:eastAsiaTheme="majorEastAsia"/>
                <w:kern w:val="0"/>
                <w:szCs w:val="21"/>
                <w:highlight w:val="none"/>
                <w:lang w:eastAsia="zh-Hans"/>
              </w:rPr>
              <w:t>及风险</w:t>
            </w:r>
            <w:r>
              <w:rPr>
                <w:rFonts w:hint="eastAsia" w:cs="宋体" w:asciiTheme="majorEastAsia" w:hAnsiTheme="majorEastAsia" w:eastAsiaTheme="majorEastAsia"/>
                <w:kern w:val="0"/>
                <w:szCs w:val="21"/>
                <w:highlight w:val="none"/>
              </w:rPr>
              <w:t>保证措施</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5分</w:t>
            </w:r>
            <w:r>
              <w:rPr>
                <w:rFonts w:hint="eastAsia" w:ascii="宋体" w:hAnsi="宋体"/>
                <w:color w:val="000000"/>
                <w:sz w:val="21"/>
                <w:szCs w:val="21"/>
                <w:highlight w:val="none"/>
                <w:lang w:eastAsia="zh-CN"/>
              </w:rPr>
              <w:t>）</w:t>
            </w:r>
          </w:p>
        </w:tc>
        <w:tc>
          <w:tcPr>
            <w:tcW w:w="6310" w:type="dxa"/>
            <w:vAlign w:val="center"/>
          </w:tcPr>
          <w:p w14:paraId="04963BE3">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方案详尽，质量、安全及风险分析及措施具体全面合理，可实施性强，得4.1-5.0分；</w:t>
            </w:r>
          </w:p>
          <w:p w14:paraId="42F1E3F3">
            <w:pPr>
              <w:widowControl/>
              <w:snapToGrid w:val="0"/>
              <w:spacing w:line="240" w:lineRule="atLeast"/>
              <w:rPr>
                <w:rFonts w:hint="eastAsia" w:ascii="宋体" w:hAnsi="宋体"/>
                <w:color w:val="000000"/>
                <w:sz w:val="21"/>
                <w:szCs w:val="21"/>
                <w:highlight w:val="none"/>
                <w:lang w:eastAsia="zh-CN"/>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lang w:eastAsia="zh-CN"/>
              </w:rPr>
              <w:t>方案较全面，质量、安全及风险分析及措施全面合理，可实施性较好，得3.1-4.0分；</w:t>
            </w:r>
          </w:p>
          <w:p w14:paraId="4A44F886">
            <w:pPr>
              <w:widowControl/>
              <w:snapToGrid w:val="0"/>
              <w:spacing w:line="240" w:lineRule="atLeast"/>
              <w:rPr>
                <w:rFonts w:hint="eastAsia" w:ascii="宋体" w:hAnsi="宋体" w:eastAsia="宋体" w:cs="宋体"/>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方案一般，质量、安全及风险分析基本全面，可实施性一般，得3.0分；</w:t>
            </w:r>
          </w:p>
        </w:tc>
      </w:tr>
      <w:tr w14:paraId="2982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797" w:type="dxa"/>
            <w:vAlign w:val="center"/>
          </w:tcPr>
          <w:p w14:paraId="7073ABB7">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2.2.4（2）</w:t>
            </w:r>
          </w:p>
        </w:tc>
        <w:tc>
          <w:tcPr>
            <w:tcW w:w="975" w:type="dxa"/>
            <w:vAlign w:val="center"/>
          </w:tcPr>
          <w:p w14:paraId="0ED0161D">
            <w:pPr>
              <w:pStyle w:val="18"/>
              <w:keepNext w:val="0"/>
              <w:keepLines w:val="0"/>
              <w:pageBreakBefore w:val="0"/>
              <w:widowControl w:val="0"/>
              <w:kinsoku/>
              <w:wordWrap/>
              <w:overflowPunct/>
              <w:topLinePunct w:val="0"/>
              <w:autoSpaceDE/>
              <w:autoSpaceDN/>
              <w:bidi w:val="0"/>
              <w:adjustRightInd/>
              <w:snapToGrid w:val="0"/>
              <w:spacing w:line="320" w:lineRule="exact"/>
              <w:ind w:left="53"/>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主要人员评</w:t>
            </w:r>
            <w:r>
              <w:rPr>
                <w:rFonts w:hint="eastAsia" w:ascii="宋体" w:hAnsi="宋体" w:eastAsia="宋体" w:cs="宋体"/>
                <w:spacing w:val="3"/>
                <w:sz w:val="21"/>
                <w:szCs w:val="21"/>
                <w:highlight w:val="none"/>
              </w:rPr>
              <w:t>分标准（1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1"/>
                <w:sz w:val="21"/>
                <w:szCs w:val="21"/>
                <w:highlight w:val="none"/>
              </w:rPr>
              <w:t>分）</w:t>
            </w:r>
          </w:p>
        </w:tc>
        <w:tc>
          <w:tcPr>
            <w:tcW w:w="1575" w:type="dxa"/>
            <w:vAlign w:val="center"/>
          </w:tcPr>
          <w:p w14:paraId="0ECB51A0">
            <w:pPr>
              <w:pStyle w:val="18"/>
              <w:keepNext w:val="0"/>
              <w:keepLines w:val="0"/>
              <w:pageBreakBefore w:val="0"/>
              <w:widowControl w:val="0"/>
              <w:kinsoku/>
              <w:wordWrap/>
              <w:overflowPunct/>
              <w:topLinePunct w:val="0"/>
              <w:autoSpaceDE/>
              <w:autoSpaceDN/>
              <w:bidi w:val="0"/>
              <w:adjustRightInd/>
              <w:snapToGrid w:val="0"/>
              <w:spacing w:line="320" w:lineRule="exact"/>
              <w:ind w:left="22" w:leftChars="0" w:right="35" w:rightChars="0" w:firstLine="29" w:firstLineChars="0"/>
              <w:jc w:val="center"/>
              <w:textAlignment w:val="auto"/>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项目负责人</w:t>
            </w:r>
          </w:p>
          <w:p w14:paraId="62F6211B">
            <w:pPr>
              <w:pStyle w:val="18"/>
              <w:keepNext w:val="0"/>
              <w:keepLines w:val="0"/>
              <w:pageBreakBefore w:val="0"/>
              <w:widowControl w:val="0"/>
              <w:kinsoku/>
              <w:wordWrap/>
              <w:overflowPunct/>
              <w:topLinePunct w:val="0"/>
              <w:autoSpaceDE/>
              <w:autoSpaceDN/>
              <w:bidi w:val="0"/>
              <w:adjustRightInd/>
              <w:snapToGrid w:val="0"/>
              <w:spacing w:line="320" w:lineRule="exact"/>
              <w:ind w:left="22" w:leftChars="0" w:right="35" w:rightChars="0" w:firstLine="29"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5"/>
                <w:sz w:val="21"/>
                <w:szCs w:val="21"/>
                <w:highlight w:val="none"/>
                <w:lang w:val="en-US" w:eastAsia="zh-CN"/>
              </w:rPr>
              <w:t>0</w:t>
            </w:r>
            <w:r>
              <w:rPr>
                <w:rFonts w:hint="eastAsia" w:ascii="宋体" w:hAnsi="宋体" w:eastAsia="宋体" w:cs="宋体"/>
                <w:spacing w:val="5"/>
                <w:sz w:val="21"/>
                <w:szCs w:val="21"/>
                <w:highlight w:val="none"/>
              </w:rPr>
              <w:t>分）</w:t>
            </w:r>
          </w:p>
        </w:tc>
        <w:tc>
          <w:tcPr>
            <w:tcW w:w="6310" w:type="dxa"/>
            <w:vAlign w:val="center"/>
          </w:tcPr>
          <w:p w14:paraId="112BB83D">
            <w:pPr>
              <w:pStyle w:val="7"/>
              <w:snapToGrid w:val="0"/>
              <w:spacing w:after="0"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1.投标人满足“资格审查条件（项目负责人最低要求）”得</w:t>
            </w:r>
            <w:r>
              <w:rPr>
                <w:rFonts w:hint="eastAsia" w:ascii="宋体" w:hAnsi="宋体"/>
                <w:sz w:val="21"/>
                <w:szCs w:val="21"/>
                <w:highlight w:val="none"/>
                <w:lang w:val="en-US" w:eastAsia="zh-CN"/>
              </w:rPr>
              <w:t>6</w:t>
            </w:r>
            <w:r>
              <w:rPr>
                <w:rFonts w:hint="eastAsia" w:ascii="宋体" w:hAnsi="宋体"/>
                <w:sz w:val="21"/>
                <w:szCs w:val="21"/>
                <w:highlight w:val="none"/>
                <w:lang w:eastAsia="zh-CN"/>
              </w:rPr>
              <w:t>分，</w:t>
            </w:r>
          </w:p>
          <w:p w14:paraId="630D000C">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2.每增加1项满足“资格审查条件（</w:t>
            </w:r>
            <w:r>
              <w:rPr>
                <w:rFonts w:hint="eastAsia" w:ascii="宋体" w:hAnsi="宋体"/>
                <w:sz w:val="21"/>
                <w:szCs w:val="21"/>
                <w:highlight w:val="none"/>
                <w:lang w:eastAsia="zh-CN"/>
              </w:rPr>
              <w:t>项目负责人最低要求</w:t>
            </w:r>
            <w:r>
              <w:rPr>
                <w:rFonts w:hint="eastAsia" w:ascii="宋体" w:hAnsi="宋体" w:eastAsia="宋体" w:cs="宋体"/>
                <w:sz w:val="21"/>
                <w:szCs w:val="21"/>
                <w:highlight w:val="none"/>
                <w:lang w:val="en-US" w:eastAsia="zh-CN" w:bidi="ar-SA"/>
              </w:rPr>
              <w:t>）”的业绩，加</w:t>
            </w:r>
            <w:r>
              <w:rPr>
                <w:rFonts w:hint="eastAsia" w:ascii="宋体" w:hAnsi="宋体" w:cs="宋体"/>
                <w:sz w:val="21"/>
                <w:szCs w:val="21"/>
                <w:highlight w:val="none"/>
                <w:lang w:val="en-US" w:eastAsia="zh-CN" w:bidi="ar-SA"/>
              </w:rPr>
              <w:t>2</w:t>
            </w:r>
            <w:r>
              <w:rPr>
                <w:rFonts w:hint="eastAsia" w:ascii="宋体" w:hAnsi="宋体" w:eastAsia="宋体" w:cs="宋体"/>
                <w:sz w:val="21"/>
                <w:szCs w:val="21"/>
                <w:highlight w:val="none"/>
                <w:lang w:val="en-US" w:eastAsia="zh-CN" w:bidi="ar-SA"/>
              </w:rPr>
              <w:t>分，最多加</w:t>
            </w:r>
            <w:r>
              <w:rPr>
                <w:rFonts w:hint="eastAsia" w:ascii="宋体" w:hAnsi="宋体" w:cs="宋体"/>
                <w:sz w:val="21"/>
                <w:szCs w:val="21"/>
                <w:highlight w:val="none"/>
                <w:lang w:val="en-US" w:eastAsia="zh-CN" w:bidi="ar-SA"/>
              </w:rPr>
              <w:t>4</w:t>
            </w:r>
            <w:r>
              <w:rPr>
                <w:rFonts w:hint="eastAsia" w:ascii="宋体" w:hAnsi="宋体" w:eastAsia="宋体" w:cs="宋体"/>
                <w:sz w:val="21"/>
                <w:szCs w:val="21"/>
                <w:highlight w:val="none"/>
                <w:lang w:val="en-US" w:eastAsia="zh-CN" w:bidi="ar-SA"/>
              </w:rPr>
              <w:t>分。</w:t>
            </w:r>
          </w:p>
        </w:tc>
      </w:tr>
      <w:tr w14:paraId="5F1B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797" w:type="dxa"/>
            <w:vAlign w:val="center"/>
          </w:tcPr>
          <w:p w14:paraId="0827EC31">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2.2.4</w:t>
            </w:r>
          </w:p>
          <w:p w14:paraId="3938DD70">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975" w:type="dxa"/>
            <w:vAlign w:val="center"/>
          </w:tcPr>
          <w:p w14:paraId="15BA714F">
            <w:pPr>
              <w:pStyle w:val="16"/>
              <w:snapToGrid w:val="0"/>
              <w:spacing w:line="300" w:lineRule="exact"/>
              <w:jc w:val="center"/>
              <w:rPr>
                <w:rFonts w:hint="eastAsia" w:ascii="宋体" w:hAnsi="宋体" w:cs="宋体"/>
                <w:spacing w:val="-2"/>
                <w:sz w:val="21"/>
                <w:szCs w:val="21"/>
                <w:highlight w:val="none"/>
              </w:rPr>
            </w:pPr>
            <w:r>
              <w:rPr>
                <w:rFonts w:hint="eastAsia" w:ascii="宋体" w:hAnsi="宋体" w:cs="宋体"/>
                <w:spacing w:val="-2"/>
                <w:sz w:val="21"/>
                <w:szCs w:val="21"/>
                <w:highlight w:val="none"/>
              </w:rPr>
              <w:t>评标价评分标准</w:t>
            </w:r>
          </w:p>
          <w:p w14:paraId="0FFD64EE">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2"/>
                <w:sz w:val="21"/>
                <w:szCs w:val="21"/>
                <w:highlight w:val="none"/>
              </w:rPr>
              <w:t>（</w:t>
            </w:r>
            <w:r>
              <w:rPr>
                <w:rFonts w:hint="eastAsia" w:ascii="宋体" w:hAnsi="宋体" w:cs="宋体"/>
                <w:spacing w:val="-2"/>
                <w:sz w:val="21"/>
                <w:szCs w:val="21"/>
                <w:highlight w:val="none"/>
                <w:lang w:val="en-US" w:eastAsia="zh-CN"/>
              </w:rPr>
              <w:t>5</w:t>
            </w:r>
            <w:r>
              <w:rPr>
                <w:rFonts w:hint="eastAsia" w:ascii="宋体" w:hAnsi="宋体" w:cs="宋体"/>
                <w:spacing w:val="-2"/>
                <w:sz w:val="21"/>
                <w:szCs w:val="21"/>
                <w:highlight w:val="none"/>
              </w:rPr>
              <w:t>0分）</w:t>
            </w:r>
          </w:p>
        </w:tc>
        <w:tc>
          <w:tcPr>
            <w:tcW w:w="7885" w:type="dxa"/>
            <w:gridSpan w:val="2"/>
            <w:vAlign w:val="center"/>
          </w:tcPr>
          <w:p w14:paraId="39B2CD7A">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评标价得分计算公式示例：</w:t>
            </w:r>
          </w:p>
          <w:p w14:paraId="6822F073">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（1）如果投标人的评标价＞评标基准价，则评标价得分=F-（投标人评标价-评标基准价）/评标基准价×100×E1；</w:t>
            </w:r>
          </w:p>
          <w:p w14:paraId="5D2CBA19">
            <w:pPr>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（2）如果投标人的评标价≤评标基准价，则评标价得分=F+(投标人评标价-评标基准价)/评标基准价×100×E2。</w:t>
            </w:r>
          </w:p>
          <w:p w14:paraId="7D3D42A6">
            <w:pPr>
              <w:pStyle w:val="16"/>
              <w:snapToGrid w:val="0"/>
              <w:spacing w:line="300" w:lineRule="exact"/>
              <w:rPr>
                <w:rFonts w:hint="eastAsia" w:ascii="宋体" w:hAnsi="宋体" w:cs="宋体"/>
                <w:sz w:val="21"/>
                <w:szCs w:val="21"/>
                <w:highlight w:val="none"/>
              </w:rPr>
            </w:pPr>
            <w:r>
              <w:rPr>
                <w:rFonts w:hint="eastAsia" w:ascii="宋体" w:hAnsi="宋体" w:cs="宋体"/>
                <w:sz w:val="21"/>
                <w:szCs w:val="21"/>
                <w:highlight w:val="none"/>
              </w:rPr>
              <w:t>其中，F=</w:t>
            </w:r>
            <w:r>
              <w:rPr>
                <w:rFonts w:hint="eastAsia" w:ascii="宋体" w:hAnsi="宋体" w:cs="宋体"/>
                <w:sz w:val="21"/>
                <w:szCs w:val="21"/>
                <w:highlight w:val="none"/>
                <w:lang w:val="en-US" w:eastAsia="zh-CN"/>
              </w:rPr>
              <w:t>5</w:t>
            </w:r>
            <w:r>
              <w:rPr>
                <w:rFonts w:hint="eastAsia" w:ascii="宋体" w:hAnsi="宋体" w:cs="宋体"/>
                <w:sz w:val="21"/>
                <w:szCs w:val="21"/>
                <w:highlight w:val="none"/>
              </w:rPr>
              <w:t>0；E1=0.</w:t>
            </w:r>
            <w:r>
              <w:rPr>
                <w:rFonts w:hint="eastAsia" w:ascii="宋体" w:hAnsi="宋体" w:cs="宋体"/>
                <w:sz w:val="21"/>
                <w:szCs w:val="21"/>
                <w:highlight w:val="none"/>
                <w:lang w:val="en-US" w:eastAsia="zh-CN"/>
              </w:rPr>
              <w:t>6</w:t>
            </w:r>
            <w:r>
              <w:rPr>
                <w:rFonts w:hint="eastAsia" w:ascii="宋体" w:hAnsi="宋体" w:cs="宋体"/>
                <w:sz w:val="21"/>
                <w:szCs w:val="21"/>
                <w:highlight w:val="none"/>
              </w:rPr>
              <w:t>；E2=0.</w:t>
            </w:r>
            <w:r>
              <w:rPr>
                <w:rFonts w:hint="eastAsia" w:ascii="宋体" w:hAnsi="宋体" w:cs="宋体"/>
                <w:sz w:val="21"/>
                <w:szCs w:val="21"/>
                <w:highlight w:val="none"/>
                <w:lang w:val="en-US" w:eastAsia="zh-CN"/>
              </w:rPr>
              <w:t>3</w:t>
            </w:r>
            <w:r>
              <w:rPr>
                <w:rFonts w:hint="eastAsia" w:ascii="宋体" w:hAnsi="宋体" w:cs="宋体"/>
                <w:sz w:val="21"/>
                <w:szCs w:val="21"/>
                <w:highlight w:val="none"/>
              </w:rPr>
              <w:t>；评标价最低得分为0分,结果保留2位小数。</w:t>
            </w:r>
          </w:p>
        </w:tc>
      </w:tr>
      <w:tr w14:paraId="0D4B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797" w:type="dxa"/>
            <w:vAlign w:val="center"/>
          </w:tcPr>
          <w:p w14:paraId="7C0EDA25">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2.2.4</w:t>
            </w:r>
          </w:p>
          <w:p w14:paraId="34F1950E">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（4）</w:t>
            </w:r>
          </w:p>
        </w:tc>
        <w:tc>
          <w:tcPr>
            <w:tcW w:w="975" w:type="dxa"/>
            <w:vAlign w:val="center"/>
          </w:tcPr>
          <w:p w14:paraId="46FA625D">
            <w:pPr>
              <w:pStyle w:val="16"/>
              <w:snapToGrid w:val="0"/>
              <w:spacing w:line="300" w:lineRule="exact"/>
              <w:jc w:val="center"/>
              <w:rPr>
                <w:rFonts w:hint="eastAsia" w:ascii="宋体" w:hAnsi="宋体" w:cs="宋体"/>
                <w:sz w:val="21"/>
                <w:szCs w:val="21"/>
                <w:highlight w:val="none"/>
              </w:rPr>
            </w:pPr>
            <w:r>
              <w:rPr>
                <w:rFonts w:hint="eastAsia" w:ascii="宋体" w:hAnsi="宋体" w:cs="宋体"/>
                <w:spacing w:val="-2"/>
                <w:sz w:val="21"/>
                <w:szCs w:val="21"/>
                <w:highlight w:val="none"/>
              </w:rPr>
              <w:t>其他因素评分标准</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w:t>
            </w:r>
          </w:p>
        </w:tc>
        <w:tc>
          <w:tcPr>
            <w:tcW w:w="1575" w:type="dxa"/>
            <w:tcBorders>
              <w:right w:val="single" w:color="auto" w:sz="4" w:space="0"/>
            </w:tcBorders>
            <w:vAlign w:val="center"/>
          </w:tcPr>
          <w:p w14:paraId="3CA570F0">
            <w:pPr>
              <w:jc w:val="center"/>
              <w:rPr>
                <w:rFonts w:hint="eastAsia" w:ascii="宋体" w:hAnsi="宋体" w:cs="宋体"/>
                <w:bCs/>
                <w:kern w:val="21"/>
                <w:sz w:val="21"/>
                <w:szCs w:val="21"/>
                <w:highlight w:val="none"/>
              </w:rPr>
            </w:pPr>
            <w:r>
              <w:rPr>
                <w:rFonts w:hint="eastAsia" w:ascii="宋体" w:hAnsi="宋体" w:cs="宋体"/>
                <w:bCs/>
                <w:kern w:val="21"/>
                <w:sz w:val="21"/>
                <w:szCs w:val="21"/>
                <w:highlight w:val="none"/>
              </w:rPr>
              <w:t>企业业绩</w:t>
            </w:r>
          </w:p>
          <w:p w14:paraId="11634F18">
            <w:pPr>
              <w:pStyle w:val="16"/>
              <w:snapToGrid w:val="0"/>
              <w:spacing w:line="300" w:lineRule="exact"/>
              <w:jc w:val="center"/>
              <w:rPr>
                <w:rFonts w:hint="eastAsia" w:ascii="宋体" w:hAnsi="宋体" w:cs="宋体"/>
                <w:sz w:val="21"/>
                <w:szCs w:val="21"/>
                <w:highlight w:val="none"/>
              </w:rPr>
            </w:pPr>
            <w:r>
              <w:rPr>
                <w:rFonts w:hint="eastAsia" w:ascii="宋体" w:hAnsi="宋体" w:cs="宋体"/>
                <w:bCs/>
                <w:kern w:val="21"/>
                <w:sz w:val="21"/>
                <w:szCs w:val="21"/>
                <w:highlight w:val="none"/>
              </w:rPr>
              <w:t>（</w:t>
            </w:r>
            <w:r>
              <w:rPr>
                <w:rFonts w:hint="eastAsia" w:ascii="宋体" w:hAnsi="宋体" w:cs="宋体"/>
                <w:bCs/>
                <w:kern w:val="21"/>
                <w:sz w:val="21"/>
                <w:szCs w:val="21"/>
                <w:highlight w:val="none"/>
                <w:lang w:val="en-US" w:eastAsia="zh-CN"/>
              </w:rPr>
              <w:t>10</w:t>
            </w:r>
            <w:r>
              <w:rPr>
                <w:rFonts w:hint="eastAsia" w:ascii="宋体" w:hAnsi="宋体" w:cs="宋体"/>
                <w:bCs/>
                <w:kern w:val="21"/>
                <w:sz w:val="21"/>
                <w:szCs w:val="21"/>
                <w:highlight w:val="none"/>
              </w:rPr>
              <w:t>分）</w:t>
            </w:r>
          </w:p>
        </w:tc>
        <w:tc>
          <w:tcPr>
            <w:tcW w:w="6310" w:type="dxa"/>
            <w:tcBorders>
              <w:left w:val="single" w:color="auto" w:sz="4" w:space="0"/>
              <w:bottom w:val="single" w:color="auto" w:sz="4" w:space="0"/>
            </w:tcBorders>
            <w:vAlign w:val="center"/>
          </w:tcPr>
          <w:p w14:paraId="398DBCCC">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满足“资格审查条件（业绩最低要求）”得</w:t>
            </w:r>
            <w:r>
              <w:rPr>
                <w:rFonts w:hint="eastAsia" w:ascii="宋体" w:hAnsi="宋体"/>
                <w:kern w:val="2"/>
                <w:sz w:val="21"/>
                <w:szCs w:val="21"/>
                <w:highlight w:val="none"/>
                <w:lang w:val="en-US" w:eastAsia="zh-CN"/>
              </w:rPr>
              <w:t>6</w:t>
            </w:r>
            <w:r>
              <w:rPr>
                <w:rFonts w:hint="eastAsia" w:ascii="宋体" w:hAnsi="宋体"/>
                <w:kern w:val="2"/>
                <w:sz w:val="21"/>
                <w:szCs w:val="21"/>
                <w:highlight w:val="none"/>
                <w:lang w:eastAsia="zh-CN"/>
              </w:rPr>
              <w:t>分；</w:t>
            </w:r>
          </w:p>
          <w:p w14:paraId="3E1C0C86">
            <w:pPr>
              <w:widowControl/>
              <w:snapToGrid w:val="0"/>
              <w:spacing w:line="300" w:lineRule="exact"/>
              <w:jc w:val="left"/>
              <w:textAlignment w:val="center"/>
              <w:rPr>
                <w:rFonts w:hint="eastAsia" w:ascii="宋体" w:hAnsi="宋体" w:cs="宋体"/>
                <w:kern w:val="21"/>
                <w:sz w:val="21"/>
                <w:szCs w:val="21"/>
                <w:highlight w:val="none"/>
              </w:rPr>
            </w:pPr>
            <w:r>
              <w:rPr>
                <w:rFonts w:hint="eastAsia" w:ascii="宋体" w:hAnsi="宋体" w:eastAsia="宋体" w:cs="宋体"/>
                <w:sz w:val="21"/>
                <w:szCs w:val="21"/>
                <w:highlight w:val="none"/>
                <w:lang w:val="en-US" w:eastAsia="zh-CN" w:bidi="ar-SA"/>
              </w:rPr>
              <w:t>每增加1项满足“资格审查条件（</w:t>
            </w:r>
            <w:r>
              <w:rPr>
                <w:rFonts w:hint="eastAsia" w:ascii="宋体" w:hAnsi="宋体"/>
                <w:kern w:val="2"/>
                <w:sz w:val="21"/>
                <w:szCs w:val="21"/>
                <w:highlight w:val="none"/>
                <w:lang w:eastAsia="zh-CN"/>
              </w:rPr>
              <w:t>业绩最低要求</w:t>
            </w:r>
            <w:r>
              <w:rPr>
                <w:rFonts w:hint="eastAsia" w:ascii="宋体" w:hAnsi="宋体" w:eastAsia="宋体" w:cs="宋体"/>
                <w:sz w:val="21"/>
                <w:szCs w:val="21"/>
                <w:highlight w:val="none"/>
                <w:lang w:val="en-US" w:eastAsia="zh-CN" w:bidi="ar-SA"/>
              </w:rPr>
              <w:t>）”的业绩，加</w:t>
            </w:r>
            <w:r>
              <w:rPr>
                <w:rFonts w:hint="eastAsia" w:ascii="宋体" w:hAnsi="宋体" w:cs="宋体"/>
                <w:sz w:val="21"/>
                <w:szCs w:val="21"/>
                <w:highlight w:val="none"/>
                <w:lang w:val="en-US" w:eastAsia="zh-CN" w:bidi="ar-SA"/>
              </w:rPr>
              <w:t>2</w:t>
            </w:r>
            <w:r>
              <w:rPr>
                <w:rFonts w:hint="eastAsia" w:ascii="宋体" w:hAnsi="宋体" w:eastAsia="宋体" w:cs="宋体"/>
                <w:sz w:val="21"/>
                <w:szCs w:val="21"/>
                <w:highlight w:val="none"/>
                <w:lang w:val="en-US" w:eastAsia="zh-CN" w:bidi="ar-SA"/>
              </w:rPr>
              <w:t>分，最多加</w:t>
            </w:r>
            <w:r>
              <w:rPr>
                <w:rFonts w:hint="eastAsia" w:ascii="宋体" w:hAnsi="宋体" w:cs="宋体"/>
                <w:sz w:val="21"/>
                <w:szCs w:val="21"/>
                <w:highlight w:val="none"/>
                <w:lang w:val="en-US" w:eastAsia="zh-CN" w:bidi="ar-SA"/>
              </w:rPr>
              <w:t>4</w:t>
            </w:r>
            <w:r>
              <w:rPr>
                <w:rFonts w:hint="eastAsia" w:ascii="宋体" w:hAnsi="宋体" w:eastAsia="宋体" w:cs="宋体"/>
                <w:sz w:val="21"/>
                <w:szCs w:val="21"/>
                <w:highlight w:val="none"/>
                <w:lang w:val="en-US" w:eastAsia="zh-CN" w:bidi="ar-SA"/>
              </w:rPr>
              <w:t>分。</w:t>
            </w:r>
          </w:p>
        </w:tc>
      </w:tr>
      <w:tr w14:paraId="68AC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797" w:type="dxa"/>
            <w:vAlign w:val="center"/>
          </w:tcPr>
          <w:p w14:paraId="63301CCE">
            <w:pPr>
              <w:pStyle w:val="16"/>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3.2.4</w:t>
            </w:r>
          </w:p>
        </w:tc>
        <w:tc>
          <w:tcPr>
            <w:tcW w:w="975" w:type="dxa"/>
            <w:vAlign w:val="center"/>
          </w:tcPr>
          <w:p w14:paraId="4AEE01F6">
            <w:pPr>
              <w:snapToGrid w:val="0"/>
              <w:spacing w:line="320" w:lineRule="exact"/>
              <w:jc w:val="center"/>
              <w:rPr>
                <w:rFonts w:hint="eastAsia" w:ascii="宋体" w:hAnsi="宋体" w:cs="宋体"/>
                <w:spacing w:val="-2"/>
                <w:sz w:val="21"/>
                <w:szCs w:val="21"/>
                <w:highlight w:val="none"/>
              </w:rPr>
            </w:pPr>
            <w:r>
              <w:rPr>
                <w:rFonts w:hint="eastAsia" w:ascii="宋体" w:hAnsi="宋体"/>
                <w:sz w:val="21"/>
                <w:szCs w:val="21"/>
                <w:highlight w:val="none"/>
                <w:lang w:eastAsia="zh-CN"/>
              </w:rPr>
              <w:t>异常低价</w:t>
            </w:r>
          </w:p>
        </w:tc>
        <w:tc>
          <w:tcPr>
            <w:tcW w:w="7885" w:type="dxa"/>
            <w:gridSpan w:val="2"/>
            <w:vAlign w:val="center"/>
          </w:tcPr>
          <w:p w14:paraId="5F552F8B">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3EFBD472">
            <w:pPr>
              <w:snapToGrid w:val="0"/>
              <w:spacing w:line="320" w:lineRule="exact"/>
              <w:ind w:left="0" w:leftChars="0" w:firstLine="0" w:firstLineChars="0"/>
              <w:jc w:val="both"/>
              <w:rPr>
                <w:rFonts w:hint="eastAsia" w:ascii="宋体" w:hAnsi="宋体" w:cs="宋体"/>
                <w:kern w:val="21"/>
                <w:sz w:val="21"/>
                <w:szCs w:val="21"/>
                <w:highlight w:val="none"/>
              </w:rPr>
            </w:pPr>
            <w:r>
              <w:rPr>
                <w:rFonts w:hint="eastAsia" w:ascii="宋体" w:hAnsi="宋体"/>
                <w:sz w:val="21"/>
                <w:szCs w:val="21"/>
                <w:highlight w:val="none"/>
                <w:lang w:eastAsia="zh-CN"/>
              </w:rPr>
              <w:t>投标人存在投标人须知前</w:t>
            </w:r>
            <w:r>
              <w:rPr>
                <w:rFonts w:hint="eastAsia" w:ascii="宋体" w:hAnsi="宋体"/>
                <w:color w:val="000000" w:themeColor="text1"/>
                <w:sz w:val="21"/>
                <w:szCs w:val="21"/>
                <w:highlight w:val="none"/>
                <w:lang w:eastAsia="zh-CN"/>
                <w14:textFill>
                  <w14:solidFill>
                    <w14:schemeClr w14:val="tx1"/>
                  </w14:solidFill>
                </w14:textFill>
              </w:rPr>
              <w:t>附表3.2.5（</w:t>
            </w: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项情形的，评标委员会应当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39A2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jc w:val="center"/>
        </w:trPr>
        <w:tc>
          <w:tcPr>
            <w:tcW w:w="797" w:type="dxa"/>
            <w:vAlign w:val="center"/>
          </w:tcPr>
          <w:p w14:paraId="7B3A0D33">
            <w:pPr>
              <w:pStyle w:val="16"/>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3.3.1</w:t>
            </w:r>
          </w:p>
        </w:tc>
        <w:tc>
          <w:tcPr>
            <w:tcW w:w="975" w:type="dxa"/>
            <w:vAlign w:val="center"/>
          </w:tcPr>
          <w:p w14:paraId="4B7D0DCD">
            <w:pPr>
              <w:pStyle w:val="16"/>
              <w:snapToGrid w:val="0"/>
              <w:spacing w:line="300" w:lineRule="exact"/>
              <w:jc w:val="center"/>
              <w:rPr>
                <w:rFonts w:hint="eastAsia" w:ascii="宋体" w:hAnsi="宋体" w:cs="宋体"/>
                <w:spacing w:val="-2"/>
                <w:sz w:val="21"/>
                <w:szCs w:val="21"/>
                <w:highlight w:val="none"/>
              </w:rPr>
            </w:pPr>
            <w:r>
              <w:rPr>
                <w:rFonts w:hint="eastAsia" w:ascii="宋体" w:hAnsi="宋体" w:cs="宋体"/>
                <w:sz w:val="21"/>
                <w:szCs w:val="21"/>
                <w:highlight w:val="none"/>
              </w:rPr>
              <w:t>投标文件相关信息核查</w:t>
            </w:r>
          </w:p>
        </w:tc>
        <w:tc>
          <w:tcPr>
            <w:tcW w:w="7885" w:type="dxa"/>
            <w:gridSpan w:val="2"/>
            <w:vAlign w:val="center"/>
          </w:tcPr>
          <w:p w14:paraId="0CBE6D06">
            <w:pPr>
              <w:adjustRightInd w:val="0"/>
              <w:snapToGrid w:val="0"/>
              <w:spacing w:line="300" w:lineRule="exact"/>
              <w:rPr>
                <w:rFonts w:hint="eastAsia" w:ascii="宋体" w:hAnsi="宋体"/>
                <w:sz w:val="21"/>
                <w:szCs w:val="21"/>
                <w:highlight w:val="none"/>
              </w:rPr>
            </w:pPr>
            <w:r>
              <w:rPr>
                <w:rFonts w:hint="eastAsia" w:ascii="宋体" w:hAnsi="宋体"/>
                <w:sz w:val="21"/>
                <w:szCs w:val="21"/>
                <w:highlight w:val="none"/>
              </w:rPr>
              <w:t>本款修改为：</w:t>
            </w:r>
          </w:p>
          <w:p w14:paraId="08BBDA6C">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https://www.creditchina.gov.cn/）中被列入经营（活动）异常名录、重大税收违法失信主体、政府采购严重违法失信行为记录名单（均不含分公司）和在中国执行信息公开网（zxgk.court.gov.cn）中被列入失信被执行人（不含分公司）的复核结果一致。如投标人未提供相关网页截图或所附截图与复核结果不一致导致不能满足资格评审要求的，评标委员会应否决其投标。</w:t>
            </w:r>
          </w:p>
          <w:p w14:paraId="156F42E8">
            <w:pPr>
              <w:snapToGrid w:val="0"/>
              <w:spacing w:line="300" w:lineRule="exact"/>
              <w:rPr>
                <w:rFonts w:hint="eastAsia" w:ascii="宋体" w:hAnsi="宋体" w:cs="宋体"/>
                <w:sz w:val="21"/>
                <w:szCs w:val="21"/>
                <w:highlight w:val="none"/>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823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jc w:val="center"/>
        </w:trPr>
        <w:tc>
          <w:tcPr>
            <w:tcW w:w="797" w:type="dxa"/>
            <w:vAlign w:val="center"/>
          </w:tcPr>
          <w:p w14:paraId="13982B01">
            <w:pPr>
              <w:adjustRightInd w:val="0"/>
              <w:snapToGrid w:val="0"/>
              <w:spacing w:line="320" w:lineRule="exact"/>
              <w:jc w:val="center"/>
              <w:rPr>
                <w:rFonts w:hint="eastAsia" w:ascii="宋体" w:hAnsi="宋体" w:cs="宋体"/>
                <w:sz w:val="21"/>
                <w:szCs w:val="21"/>
                <w:highlight w:val="none"/>
              </w:rPr>
            </w:pPr>
            <w:r>
              <w:rPr>
                <w:rFonts w:hint="eastAsia" w:ascii="宋体" w:hAnsi="宋体"/>
                <w:sz w:val="21"/>
                <w:szCs w:val="21"/>
                <w:highlight w:val="none"/>
                <w:lang w:eastAsia="zh-CN"/>
              </w:rPr>
              <w:t>增加3.</w:t>
            </w:r>
            <w:r>
              <w:rPr>
                <w:rFonts w:hint="eastAsia" w:ascii="宋体" w:hAnsi="宋体"/>
                <w:sz w:val="21"/>
                <w:szCs w:val="21"/>
                <w:highlight w:val="none"/>
                <w:lang w:val="en-US" w:eastAsia="zh-CN"/>
              </w:rPr>
              <w:t>3</w:t>
            </w:r>
            <w:r>
              <w:rPr>
                <w:rFonts w:hint="eastAsia" w:ascii="宋体" w:hAnsi="宋体"/>
                <w:sz w:val="21"/>
                <w:szCs w:val="21"/>
                <w:highlight w:val="none"/>
                <w:lang w:eastAsia="zh-CN"/>
              </w:rPr>
              <w:t>.3</w:t>
            </w:r>
          </w:p>
        </w:tc>
        <w:tc>
          <w:tcPr>
            <w:tcW w:w="975" w:type="dxa"/>
            <w:vAlign w:val="center"/>
          </w:tcPr>
          <w:p w14:paraId="5A7ACF8B">
            <w:pPr>
              <w:adjustRightInd w:val="0"/>
              <w:snapToGrid w:val="0"/>
              <w:spacing w:line="320" w:lineRule="exact"/>
              <w:jc w:val="center"/>
              <w:rPr>
                <w:rFonts w:hint="eastAsia" w:ascii="宋体" w:hAnsi="宋体" w:cs="宋体"/>
                <w:sz w:val="21"/>
                <w:szCs w:val="21"/>
                <w:highlight w:val="none"/>
              </w:rPr>
            </w:pPr>
            <w:r>
              <w:rPr>
                <w:rFonts w:hint="eastAsia" w:ascii="宋体" w:hAnsi="宋体"/>
                <w:sz w:val="21"/>
                <w:szCs w:val="21"/>
                <w:highlight w:val="none"/>
                <w:lang w:eastAsia="zh-CN"/>
              </w:rPr>
              <w:t>投标人其他异常投标情形</w:t>
            </w:r>
          </w:p>
        </w:tc>
        <w:tc>
          <w:tcPr>
            <w:tcW w:w="7885" w:type="dxa"/>
            <w:gridSpan w:val="2"/>
            <w:vAlign w:val="center"/>
          </w:tcPr>
          <w:p w14:paraId="36B78D00">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2D74745A">
            <w:pPr>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允许</w:t>
            </w:r>
            <w:r>
              <w:rPr>
                <w:rFonts w:hint="eastAsia" w:ascii="宋体" w:hAnsi="宋体"/>
                <w:color w:val="000000" w:themeColor="text1"/>
                <w:sz w:val="21"/>
                <w:szCs w:val="21"/>
                <w:highlight w:val="none"/>
                <w:lang w:eastAsia="zh-CN"/>
                <w14:textFill>
                  <w14:solidFill>
                    <w14:schemeClr w14:val="tx1"/>
                  </w14:solidFill>
                </w14:textFill>
              </w:rPr>
              <w:t>投标人</w:t>
            </w:r>
            <w:r>
              <w:rPr>
                <w:rFonts w:hint="eastAsia" w:ascii="宋体" w:hAnsi="宋体"/>
                <w:color w:val="000000" w:themeColor="text1"/>
                <w:sz w:val="21"/>
                <w:szCs w:val="21"/>
                <w:highlight w:val="none"/>
                <w:lang w:val="en-US" w:eastAsia="zh-CN"/>
                <w14:textFill>
                  <w14:solidFill>
                    <w14:schemeClr w14:val="tx1"/>
                  </w14:solidFill>
                </w14:textFill>
              </w:rPr>
              <w:t>可</w:t>
            </w:r>
            <w:r>
              <w:rPr>
                <w:rFonts w:hint="eastAsia" w:ascii="宋体" w:hAnsi="宋体"/>
                <w:color w:val="000000" w:themeColor="text1"/>
                <w:sz w:val="21"/>
                <w:szCs w:val="21"/>
                <w:highlight w:val="none"/>
                <w:lang w:eastAsia="zh-CN"/>
                <w14:textFill>
                  <w14:solidFill>
                    <w14:schemeClr w14:val="tx1"/>
                  </w14:solidFill>
                </w14:textFill>
              </w:rPr>
              <w:t>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bl>
    <w:p w14:paraId="7D5CB40F">
      <w:pPr>
        <w:jc w:val="right"/>
        <w:rPr>
          <w:rFonts w:hint="eastAsia" w:ascii="宋体" w:hAnsi="宋体"/>
          <w:highlight w:val="none"/>
        </w:rPr>
      </w:pPr>
      <w:r>
        <w:rPr>
          <w:rFonts w:hint="eastAsia" w:ascii="宋体" w:hAnsi="宋体"/>
          <w:highlight w:val="none"/>
        </w:rPr>
        <w:t>续上表</w:t>
      </w:r>
    </w:p>
    <w:p w14:paraId="54845E57">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1087D8D9">
      <w:pPr>
        <w:pStyle w:val="19"/>
        <w:spacing w:line="240" w:lineRule="auto"/>
        <w:rPr>
          <w:rFonts w:hint="eastAsia" w:ascii="宋体" w:hAnsi="宋体"/>
          <w:sz w:val="21"/>
          <w:szCs w:val="21"/>
          <w:highlight w:val="none"/>
          <w:lang w:eastAsia="zh-CN"/>
        </w:rPr>
      </w:pPr>
      <w:r>
        <w:rPr>
          <w:rFonts w:hint="eastAsia" w:ascii="宋体" w:hAnsi="宋体"/>
          <w:sz w:val="21"/>
          <w:szCs w:val="21"/>
          <w:highlight w:val="none"/>
          <w:lang w:eastAsia="zh-CN"/>
        </w:rPr>
        <w:t>2、</w:t>
      </w:r>
      <w:r>
        <w:rPr>
          <w:rFonts w:hint="eastAsia" w:ascii="宋体" w:hAnsi="宋体"/>
          <w:sz w:val="21"/>
          <w:szCs w:val="21"/>
          <w:highlight w:val="none"/>
          <w:lang w:val="zh-CN" w:eastAsia="zh-CN"/>
        </w:rPr>
        <w:t>第2.2.4（1）项评</w:t>
      </w:r>
      <w:r>
        <w:rPr>
          <w:rFonts w:hint="eastAsia" w:ascii="宋体" w:hAnsi="宋体"/>
          <w:sz w:val="21"/>
          <w:szCs w:val="21"/>
          <w:highlight w:val="none"/>
          <w:lang w:eastAsia="zh-CN"/>
        </w:rPr>
        <w:t>分</w:t>
      </w:r>
      <w:r>
        <w:rPr>
          <w:rFonts w:hint="eastAsia" w:ascii="宋体" w:hAnsi="宋体"/>
          <w:sz w:val="21"/>
          <w:szCs w:val="21"/>
          <w:highlight w:val="none"/>
          <w:lang w:val="zh-CN" w:eastAsia="zh-CN"/>
        </w:rPr>
        <w:t>因素</w:t>
      </w:r>
      <w:r>
        <w:rPr>
          <w:rFonts w:hint="eastAsia" w:ascii="宋体" w:hAnsi="宋体"/>
          <w:sz w:val="21"/>
          <w:szCs w:val="21"/>
          <w:highlight w:val="none"/>
          <w:lang w:eastAsia="zh-CN"/>
        </w:rPr>
        <w:t>细分项</w:t>
      </w:r>
      <w:r>
        <w:rPr>
          <w:rFonts w:hint="eastAsia" w:ascii="宋体" w:hAnsi="宋体"/>
          <w:sz w:val="21"/>
          <w:szCs w:val="21"/>
          <w:highlight w:val="none"/>
          <w:lang w:val="zh-CN" w:eastAsia="zh-CN"/>
        </w:rPr>
        <w:t>缺项则该项得0分。</w:t>
      </w:r>
    </w:p>
    <w:p w14:paraId="36C3223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5EC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7A6A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87A6A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448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C16"/>
    <w:multiLevelType w:val="singleLevel"/>
    <w:tmpl w:val="3F013C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03992"/>
    <w:rsid w:val="0ECD0571"/>
    <w:rsid w:val="11396325"/>
    <w:rsid w:val="13703992"/>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1"/>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3"/>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4"/>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0">
    <w:name w:val="Default Paragraph Font"/>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7">
    <w:name w:val="Body Text"/>
    <w:basedOn w:val="1"/>
    <w:qFormat/>
    <w:uiPriority w:val="99"/>
    <w:pPr>
      <w:spacing w:after="120"/>
    </w:pPr>
    <w:rPr>
      <w:kern w:val="0"/>
      <w:sz w:val="20"/>
    </w:rPr>
  </w:style>
  <w:style w:type="paragraph" w:styleId="8">
    <w:name w:val="footer"/>
    <w:basedOn w:val="1"/>
    <w:qFormat/>
    <w:uiPriority w:val="99"/>
    <w:pPr>
      <w:tabs>
        <w:tab w:val="center" w:pos="4153"/>
        <w:tab w:val="right" w:pos="8306"/>
      </w:tabs>
      <w:snapToGrid w:val="0"/>
      <w:jc w:val="left"/>
    </w:pPr>
    <w:rPr>
      <w:sz w:val="18"/>
      <w:szCs w:val="20"/>
    </w:rPr>
  </w:style>
  <w:style w:type="character" w:customStyle="1" w:styleId="11">
    <w:name w:val="标题 2 Char"/>
    <w:basedOn w:val="10"/>
    <w:link w:val="3"/>
    <w:qFormat/>
    <w:uiPriority w:val="9"/>
    <w:rPr>
      <w:rFonts w:ascii="宋体" w:hAnsi="宋体" w:eastAsia="宋体" w:cs="宋体"/>
      <w:b/>
      <w:bCs/>
      <w:sz w:val="24"/>
      <w:szCs w:val="24"/>
      <w:lang w:eastAsia="en-US"/>
    </w:rPr>
  </w:style>
  <w:style w:type="character" w:customStyle="1" w:styleId="12">
    <w:name w:val="标题 1 Char"/>
    <w:basedOn w:val="10"/>
    <w:link w:val="2"/>
    <w:qFormat/>
    <w:uiPriority w:val="9"/>
    <w:rPr>
      <w:rFonts w:ascii="宋体" w:hAnsi="宋体" w:eastAsia="宋体" w:cs="宋体"/>
      <w:b/>
      <w:bCs/>
      <w:kern w:val="36"/>
      <w:sz w:val="40"/>
      <w:szCs w:val="32"/>
      <w:lang w:eastAsia="en-US"/>
    </w:rPr>
  </w:style>
  <w:style w:type="character" w:customStyle="1" w:styleId="13">
    <w:name w:val="标题 3 Char"/>
    <w:basedOn w:val="10"/>
    <w:link w:val="4"/>
    <w:qFormat/>
    <w:uiPriority w:val="9"/>
    <w:rPr>
      <w:rFonts w:ascii="宋体" w:hAnsi="宋体" w:eastAsia="宋体" w:cs="宋体"/>
      <w:b/>
      <w:bCs/>
      <w:kern w:val="0"/>
      <w:sz w:val="24"/>
      <w:szCs w:val="24"/>
      <w:lang w:eastAsia="en-US"/>
    </w:rPr>
  </w:style>
  <w:style w:type="character" w:customStyle="1" w:styleId="14">
    <w:name w:val="标题 4 字符"/>
    <w:link w:val="5"/>
    <w:qFormat/>
    <w:uiPriority w:val="0"/>
    <w:rPr>
      <w:rFonts w:ascii="宋体" w:hAnsi="宋体" w:eastAsia="宋体" w:cs="Times New Roman"/>
      <w:b/>
      <w:sz w:val="28"/>
      <w:szCs w:val="28"/>
      <w:lang w:eastAsia="en-US"/>
    </w:rPr>
  </w:style>
  <w:style w:type="paragraph" w:customStyle="1" w:styleId="15">
    <w:name w:val="方案正文"/>
    <w:basedOn w:val="1"/>
    <w:qFormat/>
    <w:uiPriority w:val="0"/>
    <w:pPr>
      <w:spacing w:line="560" w:lineRule="exact"/>
      <w:ind w:firstLine="200" w:firstLineChars="200"/>
    </w:pPr>
    <w:rPr>
      <w:rFonts w:eastAsia="仿宋_GB2312" w:cs="黑体"/>
      <w:sz w:val="32"/>
    </w:rPr>
  </w:style>
  <w:style w:type="paragraph" w:customStyle="1" w:styleId="16">
    <w:name w:val="Table Paragraph"/>
    <w:basedOn w:val="1"/>
    <w:qFormat/>
    <w:uiPriority w:val="99"/>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正文首行缩进 21"/>
    <w:basedOn w:val="20"/>
    <w:qFormat/>
    <w:uiPriority w:val="0"/>
    <w:pPr>
      <w:ind w:firstLine="420"/>
    </w:pPr>
  </w:style>
  <w:style w:type="paragraph" w:customStyle="1" w:styleId="20">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2026-06-02T00:49:00Z</dcterms:created>
  <dc:creator>张宁</dc:creator>
  <cp:lastModifiedBy>张宁</cp:lastModifiedBy>
  <dcterms:modified xsi:type="dcterms:W3CDTF">2026-06-02T00:49:47Z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DA8CE23531CE44B4B4CC6ECDB2C48BFB_11</vt:lpwstr>
  </property>
  <property fmtid="{D5CDD505-2E9C-101B-9397-08002B2CF9AE}" pid="4" name="KSOTemplateDocerSaveRecord">
    <vt:lpwstr>eyJoZGlkIjoiNGFjNGU5MGM1NzNmMGRmMGE0N2VjNjk3NDcyNTAwODYiLCJ1c2VySWQiOiIxNjgyOTM3NTgwIn0=</vt:lpwstr>
  </property>
</Properties>
</file>