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25CEC">
      <w:pPr>
        <w:adjustRightInd w:val="0"/>
        <w:snapToGrid w:val="0"/>
        <w:spacing w:line="360" w:lineRule="auto"/>
        <w:rPr>
          <w:rFonts w:hint="eastAsia" w:ascii="宋体"/>
          <w:color w:val="auto"/>
          <w:sz w:val="24"/>
          <w:highlight w:val="none"/>
        </w:rPr>
      </w:pPr>
      <w:bookmarkStart w:id="0" w:name="_Toc536788770"/>
      <w:r>
        <w:rPr>
          <w:rFonts w:hint="eastAsia" w:ascii="宋体"/>
          <w:color w:val="auto"/>
          <w:sz w:val="24"/>
          <w:highlight w:val="none"/>
        </w:rPr>
        <w:t>附件1：</w:t>
      </w:r>
      <w:bookmarkEnd w:id="0"/>
      <w:bookmarkStart w:id="1" w:name="_Toc356504159"/>
      <w:r>
        <w:rPr>
          <w:rFonts w:hint="eastAsia" w:ascii="宋体"/>
          <w:color w:val="auto"/>
          <w:sz w:val="24"/>
          <w:highlight w:val="none"/>
        </w:rPr>
        <w:t>资格审查条件</w:t>
      </w:r>
    </w:p>
    <w:p w14:paraId="0A861A98">
      <w:pPr>
        <w:pStyle w:val="2"/>
        <w:snapToGrid w:val="0"/>
        <w:spacing w:before="100" w:beforeAutospacing="1" w:after="100" w:afterAutospacing="1" w:line="240" w:lineRule="auto"/>
        <w:jc w:val="center"/>
        <w:rPr>
          <w:rFonts w:hint="eastAsia" w:ascii="宋体"/>
          <w:color w:val="auto"/>
          <w:sz w:val="24"/>
          <w:szCs w:val="24"/>
          <w:highlight w:val="none"/>
        </w:rPr>
      </w:pPr>
      <w:bookmarkStart w:id="2" w:name="_Toc536788771"/>
      <w:r>
        <w:rPr>
          <w:rFonts w:hint="eastAsia" w:ascii="宋体"/>
          <w:color w:val="auto"/>
          <w:sz w:val="24"/>
          <w:szCs w:val="24"/>
          <w:highlight w:val="none"/>
        </w:rPr>
        <w:t>附录1  资质审查条件（资质最低要求）</w:t>
      </w:r>
      <w:bookmarkEnd w:id="2"/>
    </w:p>
    <w:tbl>
      <w:tblPr>
        <w:tblStyle w:val="11"/>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799"/>
      </w:tblGrid>
      <w:tr w14:paraId="11569B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3" w:hRule="atLeast"/>
          <w:jc w:val="center"/>
        </w:trPr>
        <w:tc>
          <w:tcPr>
            <w:tcW w:w="8799" w:type="dxa"/>
            <w:noWrap w:val="0"/>
            <w:vAlign w:val="center"/>
          </w:tcPr>
          <w:p w14:paraId="2C894608">
            <w:pPr>
              <w:jc w:val="center"/>
              <w:rPr>
                <w:rFonts w:hint="eastAsia" w:ascii="宋体"/>
                <w:color w:val="auto"/>
                <w:szCs w:val="21"/>
                <w:highlight w:val="none"/>
              </w:rPr>
            </w:pPr>
            <w:r>
              <w:rPr>
                <w:rFonts w:hint="eastAsia" w:ascii="宋体"/>
                <w:b/>
                <w:color w:val="auto"/>
                <w:szCs w:val="21"/>
                <w:highlight w:val="none"/>
              </w:rPr>
              <w:t>资质等级要求</w:t>
            </w:r>
          </w:p>
        </w:tc>
      </w:tr>
      <w:tr w14:paraId="369C79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3" w:hRule="atLeast"/>
          <w:jc w:val="center"/>
        </w:trPr>
        <w:tc>
          <w:tcPr>
            <w:tcW w:w="8799" w:type="dxa"/>
            <w:noWrap w:val="0"/>
            <w:vAlign w:val="center"/>
          </w:tcPr>
          <w:p w14:paraId="651D9238">
            <w:pPr>
              <w:rPr>
                <w:rFonts w:hint="eastAsia" w:ascii="宋体"/>
                <w:color w:val="auto"/>
                <w:szCs w:val="21"/>
                <w:highlight w:val="none"/>
              </w:rPr>
            </w:pPr>
            <w:r>
              <w:rPr>
                <w:rFonts w:hint="eastAsia" w:ascii="宋体"/>
                <w:color w:val="auto"/>
                <w:szCs w:val="21"/>
                <w:highlight w:val="none"/>
              </w:rPr>
              <w:t>具备独立企业法人资格，持有有效的企业营业执照；</w:t>
            </w:r>
          </w:p>
          <w:p w14:paraId="02743D70">
            <w:pPr>
              <w:pStyle w:val="6"/>
              <w:rPr>
                <w:rFonts w:hint="default" w:eastAsia="宋体"/>
                <w:color w:val="auto"/>
                <w:highlight w:val="none"/>
                <w:lang w:val="en-US" w:eastAsia="zh-CN"/>
              </w:rPr>
            </w:pPr>
            <w:r>
              <w:rPr>
                <w:rFonts w:hint="eastAsia" w:ascii="宋体"/>
                <w:color w:val="auto"/>
                <w:szCs w:val="21"/>
                <w:highlight w:val="none"/>
                <w:lang w:val="en-US" w:eastAsia="zh-CN"/>
              </w:rPr>
              <w:t>具备施工劳务不分等级资质，具有有效的安全生产许可证</w:t>
            </w:r>
          </w:p>
        </w:tc>
      </w:tr>
    </w:tbl>
    <w:p w14:paraId="6E045891">
      <w:pPr>
        <w:pStyle w:val="2"/>
        <w:spacing w:line="240" w:lineRule="auto"/>
        <w:jc w:val="center"/>
        <w:rPr>
          <w:rFonts w:hint="eastAsia" w:ascii="宋体"/>
          <w:color w:val="auto"/>
          <w:sz w:val="24"/>
          <w:szCs w:val="24"/>
          <w:highlight w:val="none"/>
        </w:rPr>
      </w:pPr>
      <w:bookmarkStart w:id="3" w:name="_Toc536788772"/>
    </w:p>
    <w:p w14:paraId="6A074824">
      <w:pPr>
        <w:pStyle w:val="2"/>
        <w:spacing w:line="240" w:lineRule="auto"/>
        <w:jc w:val="center"/>
        <w:rPr>
          <w:rFonts w:hint="eastAsia" w:ascii="宋体"/>
          <w:color w:val="auto"/>
          <w:sz w:val="24"/>
          <w:szCs w:val="24"/>
          <w:highlight w:val="none"/>
        </w:rPr>
      </w:pPr>
      <w:r>
        <w:rPr>
          <w:rFonts w:hint="eastAsia" w:ascii="宋体"/>
          <w:color w:val="auto"/>
          <w:sz w:val="24"/>
          <w:szCs w:val="24"/>
          <w:highlight w:val="none"/>
        </w:rPr>
        <w:t>附录2  资质审查条件（业绩最低要求）</w:t>
      </w:r>
      <w:bookmarkEnd w:id="3"/>
      <w:r>
        <w:rPr>
          <w:rFonts w:hint="eastAsia" w:ascii="宋体"/>
          <w:color w:val="auto"/>
          <w:sz w:val="24"/>
          <w:szCs w:val="24"/>
          <w:highlight w:val="none"/>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9"/>
      </w:tblGrid>
      <w:tr w14:paraId="3496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829" w:type="dxa"/>
            <w:noWrap w:val="0"/>
            <w:vAlign w:val="center"/>
          </w:tcPr>
          <w:p w14:paraId="5FBA5309">
            <w:pPr>
              <w:jc w:val="center"/>
              <w:rPr>
                <w:rFonts w:hint="eastAsia" w:ascii="宋体"/>
                <w:color w:val="auto"/>
                <w:szCs w:val="21"/>
                <w:highlight w:val="none"/>
              </w:rPr>
            </w:pPr>
            <w:r>
              <w:rPr>
                <w:rFonts w:hint="eastAsia" w:ascii="宋体" w:cs="宋体"/>
                <w:b/>
                <w:color w:val="auto"/>
                <w:kern w:val="0"/>
                <w:szCs w:val="21"/>
                <w:highlight w:val="none"/>
              </w:rPr>
              <w:t>业绩要求</w:t>
            </w:r>
          </w:p>
        </w:tc>
      </w:tr>
      <w:tr w14:paraId="250E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829" w:type="dxa"/>
            <w:noWrap w:val="0"/>
            <w:vAlign w:val="center"/>
          </w:tcPr>
          <w:p w14:paraId="0D706541">
            <w:pPr>
              <w:rPr>
                <w:rFonts w:hint="eastAsia" w:ascii="宋体"/>
                <w:color w:val="auto"/>
                <w:szCs w:val="21"/>
                <w:highlight w:val="none"/>
              </w:rPr>
            </w:pPr>
            <w:r>
              <w:rPr>
                <w:rFonts w:hint="eastAsia" w:ascii="宋体"/>
                <w:color w:val="auto"/>
                <w:szCs w:val="21"/>
                <w:highlight w:val="none"/>
              </w:rPr>
              <w:t>近</w:t>
            </w:r>
            <w:r>
              <w:rPr>
                <w:rFonts w:hint="eastAsia" w:ascii="宋体"/>
                <w:color w:val="auto"/>
                <w:szCs w:val="21"/>
                <w:highlight w:val="none"/>
                <w:lang w:val="en-US" w:eastAsia="zh-CN"/>
              </w:rPr>
              <w:t>3</w:t>
            </w:r>
            <w:r>
              <w:rPr>
                <w:rFonts w:hint="eastAsia" w:ascii="宋体"/>
                <w:color w:val="auto"/>
                <w:szCs w:val="21"/>
                <w:highlight w:val="none"/>
              </w:rPr>
              <w:t>年内(20</w:t>
            </w:r>
            <w:r>
              <w:rPr>
                <w:rFonts w:hint="eastAsia" w:ascii="宋体"/>
                <w:color w:val="auto"/>
                <w:szCs w:val="21"/>
                <w:highlight w:val="none"/>
                <w:lang w:val="en-US" w:eastAsia="zh-CN"/>
              </w:rPr>
              <w:t>23</w:t>
            </w:r>
            <w:r>
              <w:rPr>
                <w:rFonts w:hint="eastAsia" w:ascii="宋体"/>
                <w:color w:val="auto"/>
                <w:szCs w:val="21"/>
                <w:highlight w:val="none"/>
              </w:rPr>
              <w:t>年</w:t>
            </w:r>
            <w:r>
              <w:rPr>
                <w:rFonts w:hint="eastAsia" w:ascii="宋体"/>
                <w:color w:val="auto"/>
                <w:szCs w:val="21"/>
                <w:highlight w:val="none"/>
                <w:lang w:val="en-US" w:eastAsia="zh-CN"/>
              </w:rPr>
              <w:t>10</w:t>
            </w:r>
            <w:r>
              <w:rPr>
                <w:rFonts w:hint="eastAsia" w:ascii="宋体"/>
                <w:color w:val="auto"/>
                <w:szCs w:val="21"/>
                <w:highlight w:val="none"/>
              </w:rPr>
              <w:t>月1日至今，</w:t>
            </w:r>
            <w:r>
              <w:rPr>
                <w:rFonts w:hint="eastAsia" w:ascii="宋体"/>
                <w:color w:val="auto"/>
                <w:szCs w:val="21"/>
                <w:highlight w:val="none"/>
              </w:rPr>
              <w:t>以合同签订时间为准）至少具有</w:t>
            </w:r>
            <w:r>
              <w:rPr>
                <w:rFonts w:hint="eastAsia" w:ascii="宋体"/>
                <w:color w:val="auto"/>
                <w:szCs w:val="21"/>
                <w:highlight w:val="none"/>
                <w:lang w:val="en-US" w:eastAsia="zh-CN"/>
              </w:rPr>
              <w:t>1</w:t>
            </w:r>
            <w:r>
              <w:rPr>
                <w:rFonts w:hint="eastAsia" w:ascii="宋体"/>
                <w:color w:val="auto"/>
                <w:szCs w:val="21"/>
                <w:highlight w:val="none"/>
              </w:rPr>
              <w:t>项合同金额在1000万以上的</w:t>
            </w:r>
            <w:r>
              <w:rPr>
                <w:rFonts w:hint="eastAsia" w:ascii="宋体"/>
                <w:color w:val="auto"/>
                <w:szCs w:val="21"/>
                <w:highlight w:val="none"/>
                <w:lang w:val="en-US" w:eastAsia="zh-CN"/>
              </w:rPr>
              <w:t>机电工程施工或机电工</w:t>
            </w:r>
            <w:bookmarkStart w:id="12" w:name="_GoBack"/>
            <w:bookmarkEnd w:id="12"/>
            <w:r>
              <w:rPr>
                <w:rFonts w:hint="eastAsia" w:ascii="宋体"/>
                <w:color w:val="auto"/>
                <w:szCs w:val="21"/>
                <w:highlight w:val="none"/>
                <w:lang w:val="en-US" w:eastAsia="zh-CN"/>
              </w:rPr>
              <w:t>程</w:t>
            </w:r>
            <w:r>
              <w:rPr>
                <w:rFonts w:hint="eastAsia" w:ascii="宋体"/>
                <w:color w:val="auto"/>
                <w:szCs w:val="21"/>
                <w:highlight w:val="none"/>
              </w:rPr>
              <w:t>劳务业绩</w:t>
            </w:r>
            <w:r>
              <w:rPr>
                <w:rFonts w:hint="eastAsia" w:ascii="宋体"/>
                <w:color w:val="auto"/>
                <w:szCs w:val="21"/>
                <w:highlight w:val="none"/>
              </w:rPr>
              <w:t>。</w:t>
            </w:r>
          </w:p>
        </w:tc>
      </w:tr>
    </w:tbl>
    <w:p w14:paraId="6FD2390E">
      <w:pPr>
        <w:pStyle w:val="2"/>
        <w:spacing w:line="240" w:lineRule="auto"/>
        <w:jc w:val="center"/>
        <w:rPr>
          <w:rFonts w:hint="eastAsia" w:ascii="宋体"/>
          <w:color w:val="auto"/>
          <w:sz w:val="24"/>
          <w:szCs w:val="24"/>
          <w:highlight w:val="none"/>
        </w:rPr>
      </w:pPr>
      <w:bookmarkStart w:id="4" w:name="_Toc536788773"/>
    </w:p>
    <w:p w14:paraId="1A6DD33E">
      <w:pPr>
        <w:pStyle w:val="2"/>
        <w:spacing w:line="240" w:lineRule="auto"/>
        <w:jc w:val="center"/>
        <w:rPr>
          <w:rFonts w:hint="eastAsia" w:ascii="宋体"/>
          <w:color w:val="auto"/>
          <w:highlight w:val="none"/>
        </w:rPr>
      </w:pPr>
      <w:r>
        <w:rPr>
          <w:rFonts w:hint="eastAsia" w:ascii="宋体"/>
          <w:color w:val="auto"/>
          <w:sz w:val="24"/>
          <w:szCs w:val="24"/>
          <w:highlight w:val="none"/>
        </w:rPr>
        <w:t>附录3  资质审查条件（信誉最低要求）</w:t>
      </w:r>
      <w:bookmarkEnd w:id="4"/>
      <w:r>
        <w:rPr>
          <w:rFonts w:hint="eastAsia" w:ascii="宋体"/>
          <w:color w:val="auto"/>
          <w:sz w:val="24"/>
          <w:szCs w:val="24"/>
          <w:highlight w:val="none"/>
        </w:rPr>
        <w:t xml:space="preserve"> </w:t>
      </w:r>
      <w:r>
        <w:rPr>
          <w:rFonts w:hint="eastAsia" w:ascii="宋体"/>
          <w:b w:val="0"/>
          <w:color w:val="auto"/>
          <w:sz w:val="24"/>
          <w:highlight w:val="none"/>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3188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7C3346BF">
            <w:pPr>
              <w:spacing w:line="360" w:lineRule="auto"/>
              <w:jc w:val="center"/>
              <w:rPr>
                <w:rFonts w:hint="eastAsia" w:ascii="宋体"/>
                <w:color w:val="auto"/>
                <w:szCs w:val="21"/>
                <w:highlight w:val="none"/>
              </w:rPr>
            </w:pPr>
            <w:r>
              <w:rPr>
                <w:rFonts w:hint="eastAsia" w:ascii="宋体"/>
                <w:color w:val="auto"/>
                <w:szCs w:val="21"/>
                <w:highlight w:val="none"/>
              </w:rPr>
              <w:t>信誉要求</w:t>
            </w:r>
          </w:p>
        </w:tc>
      </w:tr>
      <w:tr w14:paraId="6480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818" w:type="dxa"/>
            <w:vMerge w:val="restart"/>
            <w:noWrap w:val="0"/>
            <w:vAlign w:val="center"/>
          </w:tcPr>
          <w:p w14:paraId="3BDFE0AD">
            <w:pPr>
              <w:pStyle w:val="6"/>
              <w:rPr>
                <w:rFonts w:hint="eastAsia"/>
                <w:color w:val="auto"/>
                <w:highlight w:val="none"/>
              </w:rPr>
            </w:pPr>
            <w:r>
              <w:rPr>
                <w:rFonts w:hint="eastAsia" w:ascii="宋体" w:hAnsi="宋体"/>
                <w:color w:val="auto"/>
                <w:kern w:val="0"/>
                <w:sz w:val="22"/>
                <w:highlight w:val="none"/>
              </w:rPr>
              <w:t>投标人在近一年（202</w:t>
            </w:r>
            <w:r>
              <w:rPr>
                <w:rFonts w:hint="eastAsia" w:ascii="宋体" w:hAnsi="宋体"/>
                <w:color w:val="auto"/>
                <w:kern w:val="0"/>
                <w:sz w:val="22"/>
                <w:highlight w:val="none"/>
                <w:lang w:val="en-US" w:eastAsia="zh-CN"/>
              </w:rPr>
              <w:t>5</w:t>
            </w:r>
            <w:r>
              <w:rPr>
                <w:rFonts w:hint="eastAsia" w:ascii="宋体" w:hAnsi="宋体"/>
                <w:color w:val="auto"/>
                <w:kern w:val="0"/>
                <w:sz w:val="22"/>
                <w:highlight w:val="none"/>
              </w:rPr>
              <w:t>年</w:t>
            </w:r>
            <w:r>
              <w:rPr>
                <w:rFonts w:hint="eastAsia" w:ascii="宋体" w:hAnsi="宋体"/>
                <w:color w:val="auto"/>
                <w:kern w:val="0"/>
                <w:sz w:val="22"/>
                <w:highlight w:val="none"/>
                <w:lang w:val="en-US" w:eastAsia="zh-CN"/>
              </w:rPr>
              <w:t>10</w:t>
            </w:r>
            <w:r>
              <w:rPr>
                <w:rFonts w:hint="eastAsia" w:ascii="宋体" w:hAnsi="宋体"/>
                <w:color w:val="auto"/>
                <w:kern w:val="0"/>
                <w:sz w:val="22"/>
                <w:highlight w:val="none"/>
              </w:rPr>
              <w:t>月1日至投标文件递交截止时间）不曾在</w:t>
            </w:r>
            <w:r>
              <w:rPr>
                <w:rFonts w:hint="eastAsia" w:ascii="宋体"/>
                <w:color w:val="auto"/>
                <w:szCs w:val="21"/>
                <w:highlight w:val="none"/>
              </w:rPr>
              <w:t>高速公路机电</w:t>
            </w:r>
            <w:r>
              <w:rPr>
                <w:rFonts w:hint="eastAsia" w:ascii="宋体"/>
                <w:color w:val="auto"/>
                <w:szCs w:val="21"/>
                <w:highlight w:val="none"/>
                <w:lang w:val="en-US" w:eastAsia="zh-CN"/>
              </w:rPr>
              <w:t>工程相关</w:t>
            </w:r>
            <w:r>
              <w:rPr>
                <w:rFonts w:hint="eastAsia" w:ascii="宋体"/>
                <w:color w:val="auto"/>
                <w:szCs w:val="21"/>
                <w:highlight w:val="none"/>
              </w:rPr>
              <w:t>项目</w:t>
            </w:r>
            <w:r>
              <w:rPr>
                <w:rFonts w:hint="eastAsia" w:ascii="宋体" w:hAnsi="宋体"/>
                <w:color w:val="auto"/>
                <w:kern w:val="0"/>
                <w:sz w:val="22"/>
                <w:highlight w:val="none"/>
              </w:rPr>
              <w:t>中违约而被逐或因投标人自身的原因而使任何合同被解除。</w:t>
            </w:r>
          </w:p>
        </w:tc>
      </w:tr>
      <w:tr w14:paraId="5FA4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818" w:type="dxa"/>
            <w:vMerge w:val="continue"/>
            <w:noWrap w:val="0"/>
            <w:vAlign w:val="center"/>
          </w:tcPr>
          <w:p w14:paraId="6770A8DA">
            <w:pPr>
              <w:rPr>
                <w:color w:val="auto"/>
                <w:highlight w:val="none"/>
              </w:rPr>
            </w:pPr>
          </w:p>
        </w:tc>
      </w:tr>
    </w:tbl>
    <w:p w14:paraId="29C05CD2">
      <w:pPr>
        <w:rPr>
          <w:rFonts w:ascii="宋体"/>
          <w:b/>
          <w:color w:val="auto"/>
          <w:sz w:val="24"/>
          <w:highlight w:val="none"/>
        </w:rPr>
      </w:pPr>
      <w:bookmarkStart w:id="5" w:name="_Toc470776154"/>
    </w:p>
    <w:p w14:paraId="31707BD0">
      <w:pPr>
        <w:rPr>
          <w:rFonts w:ascii="宋体"/>
          <w:b/>
          <w:color w:val="auto"/>
          <w:sz w:val="24"/>
          <w:highlight w:val="none"/>
        </w:rPr>
      </w:pPr>
    </w:p>
    <w:p w14:paraId="3AC3CD01">
      <w:pPr>
        <w:pStyle w:val="2"/>
        <w:spacing w:line="240" w:lineRule="auto"/>
        <w:jc w:val="center"/>
        <w:rPr>
          <w:rFonts w:hint="eastAsia" w:ascii="宋体"/>
          <w:color w:val="auto"/>
          <w:highlight w:val="none"/>
        </w:rPr>
      </w:pPr>
      <w:r>
        <w:rPr>
          <w:rFonts w:hint="eastAsia" w:ascii="宋体"/>
          <w:color w:val="auto"/>
          <w:sz w:val="24"/>
          <w:szCs w:val="24"/>
          <w:highlight w:val="none"/>
        </w:rPr>
        <w:t>附录</w:t>
      </w:r>
      <w:r>
        <w:rPr>
          <w:rFonts w:hint="eastAsia" w:ascii="宋体"/>
          <w:color w:val="auto"/>
          <w:sz w:val="24"/>
          <w:szCs w:val="24"/>
          <w:highlight w:val="none"/>
          <w:lang w:val="en-US" w:eastAsia="zh-CN"/>
        </w:rPr>
        <w:t>4</w:t>
      </w:r>
      <w:r>
        <w:rPr>
          <w:rFonts w:hint="eastAsia" w:ascii="宋体"/>
          <w:color w:val="auto"/>
          <w:sz w:val="24"/>
          <w:szCs w:val="24"/>
          <w:highlight w:val="none"/>
        </w:rPr>
        <w:t xml:space="preserve">  资质审查条件（</w:t>
      </w:r>
      <w:r>
        <w:rPr>
          <w:rFonts w:hint="eastAsia" w:ascii="宋体"/>
          <w:color w:val="auto"/>
          <w:sz w:val="24"/>
          <w:szCs w:val="24"/>
          <w:highlight w:val="none"/>
          <w:lang w:val="en-US" w:eastAsia="zh-CN"/>
        </w:rPr>
        <w:t>人员</w:t>
      </w:r>
      <w:r>
        <w:rPr>
          <w:rFonts w:hint="eastAsia" w:ascii="宋体"/>
          <w:color w:val="auto"/>
          <w:sz w:val="24"/>
          <w:szCs w:val="24"/>
          <w:highlight w:val="none"/>
        </w:rPr>
        <w:t xml:space="preserve">最低要求） </w:t>
      </w:r>
      <w:r>
        <w:rPr>
          <w:rFonts w:hint="eastAsia" w:ascii="宋体"/>
          <w:b w:val="0"/>
          <w:color w:val="auto"/>
          <w:sz w:val="24"/>
          <w:highlight w:val="none"/>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08B9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12A5D415">
            <w:pPr>
              <w:spacing w:line="360" w:lineRule="auto"/>
              <w:jc w:val="center"/>
              <w:rPr>
                <w:rFonts w:hint="eastAsia" w:ascii="宋体"/>
                <w:color w:val="auto"/>
                <w:szCs w:val="21"/>
                <w:highlight w:val="none"/>
              </w:rPr>
            </w:pPr>
            <w:r>
              <w:rPr>
                <w:rFonts w:hint="eastAsia" w:ascii="宋体"/>
                <w:color w:val="auto"/>
                <w:szCs w:val="21"/>
                <w:highlight w:val="none"/>
                <w:lang w:val="en-US" w:eastAsia="zh-CN"/>
              </w:rPr>
              <w:t>人员</w:t>
            </w:r>
            <w:r>
              <w:rPr>
                <w:rFonts w:hint="eastAsia" w:ascii="宋体"/>
                <w:color w:val="auto"/>
                <w:szCs w:val="21"/>
                <w:highlight w:val="none"/>
              </w:rPr>
              <w:t>要求</w:t>
            </w:r>
          </w:p>
        </w:tc>
      </w:tr>
      <w:tr w14:paraId="195E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8818" w:type="dxa"/>
            <w:noWrap w:val="0"/>
            <w:vAlign w:val="center"/>
          </w:tcPr>
          <w:p w14:paraId="5F4F453F">
            <w:pPr>
              <w:pStyle w:val="7"/>
              <w:rPr>
                <w:rFonts w:hint="eastAsia" w:eastAsia="宋体"/>
                <w:color w:val="auto"/>
                <w:lang w:val="en-US" w:eastAsia="zh-CN"/>
              </w:rPr>
            </w:pPr>
            <w:r>
              <w:rPr>
                <w:rFonts w:hint="eastAsia" w:ascii="宋体" w:hAnsi="宋体" w:eastAsia="宋体" w:cs="宋体"/>
                <w:color w:val="auto"/>
                <w:spacing w:val="7"/>
                <w:sz w:val="21"/>
                <w:szCs w:val="21"/>
                <w:lang w:val="en-US" w:eastAsia="zh-CN"/>
              </w:rPr>
              <w:t>/</w:t>
            </w:r>
          </w:p>
        </w:tc>
      </w:tr>
    </w:tbl>
    <w:p w14:paraId="7DED9898">
      <w:pPr>
        <w:rPr>
          <w:rFonts w:ascii="宋体"/>
          <w:b/>
          <w:color w:val="auto"/>
          <w:sz w:val="24"/>
          <w:highlight w:val="none"/>
        </w:rPr>
      </w:pPr>
    </w:p>
    <w:bookmarkEnd w:id="1"/>
    <w:bookmarkEnd w:id="5"/>
    <w:p w14:paraId="5D25F77E">
      <w:pPr>
        <w:rPr>
          <w:rFonts w:ascii="宋体" w:hAnsi="宋体"/>
          <w:b/>
          <w:color w:val="auto"/>
          <w:sz w:val="28"/>
          <w:szCs w:val="28"/>
          <w:highlight w:val="none"/>
        </w:rPr>
      </w:pPr>
      <w:r>
        <w:rPr>
          <w:rFonts w:ascii="宋体" w:hAnsi="宋体"/>
          <w:b/>
          <w:color w:val="auto"/>
          <w:sz w:val="28"/>
          <w:szCs w:val="28"/>
          <w:highlight w:val="none"/>
        </w:rPr>
        <w:t xml:space="preserve"> </w:t>
      </w:r>
    </w:p>
    <w:p w14:paraId="3BEC9843">
      <w:pPr>
        <w:adjustRightInd w:val="0"/>
        <w:snapToGrid w:val="0"/>
        <w:spacing w:line="360" w:lineRule="auto"/>
        <w:rPr>
          <w:rFonts w:hint="eastAsia"/>
          <w:color w:val="auto"/>
          <w:highlight w:val="none"/>
        </w:rPr>
      </w:pPr>
      <w:r>
        <w:rPr>
          <w:rFonts w:ascii="宋体" w:hAnsi="宋体"/>
          <w:b/>
          <w:color w:val="auto"/>
          <w:sz w:val="28"/>
          <w:szCs w:val="28"/>
          <w:highlight w:val="none"/>
        </w:rPr>
        <w:br w:type="page"/>
      </w:r>
      <w:bookmarkStart w:id="6" w:name="_Toc146031774"/>
      <w:bookmarkStart w:id="7" w:name="_Toc171573455"/>
      <w:bookmarkStart w:id="8" w:name="_Toc141780407"/>
      <w:bookmarkStart w:id="9" w:name="_Toc145426379"/>
      <w:bookmarkStart w:id="10" w:name="_Toc4046"/>
      <w:bookmarkStart w:id="11" w:name="_Toc203944441"/>
      <w:r>
        <w:rPr>
          <w:rFonts w:hint="eastAsia" w:ascii="宋体" w:hAnsi="Times New Roman" w:eastAsia="宋体" w:cs="Times New Roman"/>
          <w:color w:val="auto"/>
          <w:sz w:val="24"/>
          <w:highlight w:val="none"/>
        </w:rPr>
        <w:t>附件2：评标办法</w:t>
      </w:r>
      <w:bookmarkEnd w:id="6"/>
      <w:bookmarkEnd w:id="7"/>
      <w:bookmarkEnd w:id="8"/>
      <w:bookmarkEnd w:id="9"/>
      <w:bookmarkEnd w:id="10"/>
      <w:bookmarkEnd w:id="11"/>
      <w:r>
        <w:rPr>
          <w:rFonts w:hint="eastAsia" w:ascii="宋体" w:hAnsi="Times New Roman" w:eastAsia="宋体" w:cs="Times New Roman"/>
          <w:color w:val="auto"/>
          <w:sz w:val="24"/>
          <w:highlight w:val="none"/>
        </w:rPr>
        <w:t>前附表</w:t>
      </w:r>
    </w:p>
    <w:tbl>
      <w:tblPr>
        <w:tblStyle w:val="11"/>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2D5F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3C2C4338">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条款号</w:t>
            </w:r>
          </w:p>
        </w:tc>
        <w:tc>
          <w:tcPr>
            <w:tcW w:w="7197" w:type="dxa"/>
            <w:noWrap w:val="0"/>
            <w:vAlign w:val="center"/>
          </w:tcPr>
          <w:p w14:paraId="391A0D0A">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评审因素与评审标准</w:t>
            </w:r>
          </w:p>
        </w:tc>
      </w:tr>
      <w:tr w14:paraId="27F5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734" w:hRule="atLeast"/>
          <w:jc w:val="center"/>
        </w:trPr>
        <w:tc>
          <w:tcPr>
            <w:tcW w:w="1143" w:type="dxa"/>
            <w:noWrap w:val="0"/>
            <w:vAlign w:val="center"/>
          </w:tcPr>
          <w:p w14:paraId="2E754FE7">
            <w:pPr>
              <w:jc w:val="center"/>
              <w:rPr>
                <w:rFonts w:ascii="宋体" w:hAnsi="宋体"/>
                <w:b/>
                <w:color w:val="auto"/>
                <w:szCs w:val="21"/>
                <w:highlight w:val="none"/>
              </w:rPr>
            </w:pPr>
            <w:r>
              <w:rPr>
                <w:rFonts w:hint="eastAsia" w:ascii="宋体" w:hAnsi="宋体"/>
                <w:b/>
                <w:color w:val="auto"/>
                <w:szCs w:val="21"/>
                <w:highlight w:val="none"/>
              </w:rPr>
              <w:t>1</w:t>
            </w:r>
          </w:p>
        </w:tc>
        <w:tc>
          <w:tcPr>
            <w:tcW w:w="1317" w:type="dxa"/>
            <w:noWrap w:val="0"/>
            <w:vAlign w:val="center"/>
          </w:tcPr>
          <w:p w14:paraId="0CE05C99">
            <w:pPr>
              <w:jc w:val="center"/>
              <w:rPr>
                <w:b/>
                <w:color w:val="auto"/>
                <w:highlight w:val="none"/>
              </w:rPr>
            </w:pPr>
            <w:r>
              <w:rPr>
                <w:rFonts w:hint="eastAsia" w:ascii="宋体" w:hAnsi="宋体"/>
                <w:color w:val="auto"/>
                <w:szCs w:val="21"/>
                <w:highlight w:val="none"/>
              </w:rPr>
              <w:t>评标办法</w:t>
            </w:r>
          </w:p>
        </w:tc>
        <w:tc>
          <w:tcPr>
            <w:tcW w:w="7197" w:type="dxa"/>
            <w:noWrap w:val="0"/>
            <w:vAlign w:val="center"/>
          </w:tcPr>
          <w:p w14:paraId="67EB2CB6">
            <w:pPr>
              <w:snapToGrid w:val="0"/>
              <w:spacing w:line="320" w:lineRule="exact"/>
              <w:ind w:firstLine="420" w:firstLineChars="200"/>
              <w:jc w:val="left"/>
              <w:textAlignment w:val="baseline"/>
              <w:rPr>
                <w:rFonts w:hint="eastAsia"/>
                <w:color w:val="auto"/>
                <w:highlight w:val="none"/>
              </w:rPr>
            </w:pPr>
            <w:r>
              <w:rPr>
                <w:rFonts w:hint="eastAsia"/>
                <w:color w:val="auto"/>
                <w:highlight w:val="none"/>
              </w:rPr>
              <w:t>本次评标采用</w:t>
            </w:r>
            <w:r>
              <w:rPr>
                <w:rFonts w:hint="eastAsia"/>
                <w:color w:val="auto"/>
                <w:highlight w:val="none"/>
                <w:lang w:eastAsia="zh-CN"/>
              </w:rPr>
              <w:t>综合评分法</w:t>
            </w:r>
            <w:r>
              <w:rPr>
                <w:rFonts w:hint="eastAsia"/>
                <w:color w:val="auto"/>
                <w:highlight w:val="none"/>
              </w:rPr>
              <w:t>。评标委员会对满足招标文件实质性要求的投标文件，按照本章第2.2款规定的评分标准进行打分，并按得分由高到低顺序推荐1-3中标候选人。综合评分相等时，评标委员会依次按照以下优先顺序推荐中标候选人：</w:t>
            </w:r>
          </w:p>
          <w:p w14:paraId="3FE8CBF2">
            <w:pPr>
              <w:adjustRightInd w:val="0"/>
              <w:snapToGrid w:val="0"/>
              <w:spacing w:line="30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）评标价低的投标人优先；</w:t>
            </w:r>
          </w:p>
          <w:p w14:paraId="6310F595">
            <w:pPr>
              <w:adjustRightInd w:val="0"/>
              <w:snapToGrid w:val="0"/>
              <w:spacing w:line="300" w:lineRule="exact"/>
              <w:ind w:firstLine="420" w:firstLineChars="200"/>
              <w:rPr>
                <w:rFonts w:hint="eastAsia"/>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color w:val="auto"/>
                <w:highlight w:val="none"/>
                <w:lang w:val="en-US" w:eastAsia="zh-CN"/>
              </w:rPr>
              <w:t>服务方案</w:t>
            </w:r>
            <w:r>
              <w:rPr>
                <w:rFonts w:hint="eastAsia"/>
                <w:color w:val="auto"/>
                <w:highlight w:val="none"/>
              </w:rPr>
              <w:t>得分较高的投标人优先；</w:t>
            </w:r>
          </w:p>
          <w:p w14:paraId="51503193">
            <w:pPr>
              <w:adjustRightInd w:val="0"/>
              <w:snapToGrid w:val="0"/>
              <w:spacing w:line="300" w:lineRule="exact"/>
              <w:ind w:firstLine="420" w:firstLineChars="200"/>
              <w:rPr>
                <w:rFonts w:hint="eastAsia"/>
                <w:color w:val="auto"/>
                <w:highlight w:val="none"/>
              </w:rPr>
            </w:pPr>
            <w:r>
              <w:rPr>
                <w:rFonts w:hint="eastAsia"/>
                <w:color w:val="auto"/>
                <w:highlight w:val="none"/>
              </w:rPr>
              <w:t>（3）投标人近</w:t>
            </w:r>
            <w:r>
              <w:rPr>
                <w:rFonts w:hint="eastAsia"/>
                <w:color w:val="auto"/>
                <w:highlight w:val="none"/>
                <w:lang w:val="en-US" w:eastAsia="zh-CN"/>
              </w:rPr>
              <w:t>3</w:t>
            </w:r>
            <w:r>
              <w:rPr>
                <w:rFonts w:hint="eastAsia"/>
                <w:color w:val="auto"/>
                <w:highlight w:val="none"/>
              </w:rPr>
              <w:t>年内满足资格审查条件(业绩最低条件)要求的业绩累计金额高的优先。</w:t>
            </w:r>
          </w:p>
          <w:p w14:paraId="59873182">
            <w:pPr>
              <w:pStyle w:val="6"/>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通过第一信封商务、技术文件评审的投标人少于3个的，评标委员会可以否决全部投标；未否决全部投标的，评标委员会应当在评标报告中阐明理由；通过第二信封报价文件评审的投标人少于3个的，评标委员会可以否决全部投标；未否决全部投标的，评标委员会应当在评标报告中阐明理由并推荐中标候选人。</w:t>
            </w:r>
          </w:p>
        </w:tc>
      </w:tr>
      <w:tr w14:paraId="2E72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2697507E">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2.1.1</w:t>
            </w:r>
          </w:p>
          <w:p w14:paraId="097CE538">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2.1.3</w:t>
            </w:r>
          </w:p>
        </w:tc>
        <w:tc>
          <w:tcPr>
            <w:tcW w:w="1317" w:type="dxa"/>
            <w:noWrap w:val="0"/>
            <w:vAlign w:val="center"/>
          </w:tcPr>
          <w:p w14:paraId="7B54D0C1">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形式评审与响应性评审标准</w:t>
            </w:r>
          </w:p>
        </w:tc>
        <w:tc>
          <w:tcPr>
            <w:tcW w:w="7197" w:type="dxa"/>
            <w:noWrap w:val="0"/>
            <w:vAlign w:val="top"/>
          </w:tcPr>
          <w:p w14:paraId="56C2351A">
            <w:pPr>
              <w:tabs>
                <w:tab w:val="left" w:pos="3060"/>
              </w:tabs>
              <w:spacing w:line="320" w:lineRule="exact"/>
              <w:rPr>
                <w:rFonts w:hint="eastAsia"/>
                <w:color w:val="auto"/>
                <w:highlight w:val="none"/>
              </w:rPr>
            </w:pPr>
            <w:r>
              <w:rPr>
                <w:rFonts w:hint="eastAsia"/>
                <w:color w:val="auto"/>
                <w:highlight w:val="none"/>
              </w:rPr>
              <w:t>第一个信封（商务及技术文件）评审标准:</w:t>
            </w:r>
          </w:p>
          <w:p w14:paraId="033ED8FB">
            <w:pPr>
              <w:snapToGrid w:val="0"/>
              <w:spacing w:line="280" w:lineRule="exact"/>
              <w:ind w:firstLine="210" w:firstLineChars="100"/>
              <w:rPr>
                <w:color w:val="auto"/>
                <w:highlight w:val="none"/>
              </w:rPr>
            </w:pPr>
            <w:r>
              <w:rPr>
                <w:rFonts w:hint="eastAsia"/>
                <w:color w:val="auto"/>
                <w:highlight w:val="none"/>
              </w:rPr>
              <w:t>（1）投标文件按照招标文件规定的格式、内容填写，字迹清晰可辨：</w:t>
            </w:r>
          </w:p>
          <w:p w14:paraId="49677FC3">
            <w:pPr>
              <w:snapToGrid w:val="0"/>
              <w:spacing w:line="280" w:lineRule="exact"/>
              <w:ind w:firstLine="420" w:firstLineChars="200"/>
              <w:rPr>
                <w:color w:val="auto"/>
                <w:highlight w:val="none"/>
              </w:rPr>
            </w:pPr>
            <w:r>
              <w:rPr>
                <w:rFonts w:hint="eastAsia"/>
                <w:color w:val="auto"/>
                <w:highlight w:val="none"/>
              </w:rPr>
              <w:t>a.投标函按招标文件规定填报了项目名称、补遗书编号（如有）、</w:t>
            </w:r>
            <w:r>
              <w:rPr>
                <w:rFonts w:hint="eastAsia"/>
                <w:color w:val="auto"/>
                <w:highlight w:val="none"/>
                <w:lang w:val="en-US" w:eastAsia="zh-CN"/>
              </w:rPr>
              <w:t>服务</w:t>
            </w:r>
            <w:r>
              <w:rPr>
                <w:rFonts w:hint="eastAsia"/>
                <w:color w:val="auto"/>
                <w:highlight w:val="none"/>
              </w:rPr>
              <w:t>期限；</w:t>
            </w:r>
          </w:p>
          <w:p w14:paraId="64D76796">
            <w:pPr>
              <w:snapToGrid w:val="0"/>
              <w:spacing w:line="280" w:lineRule="exact"/>
              <w:ind w:firstLine="420" w:firstLineChars="200"/>
              <w:rPr>
                <w:color w:val="auto"/>
                <w:highlight w:val="none"/>
              </w:rPr>
            </w:pPr>
            <w:r>
              <w:rPr>
                <w:color w:val="auto"/>
                <w:highlight w:val="none"/>
              </w:rPr>
              <w:t>b</w:t>
            </w:r>
            <w:r>
              <w:rPr>
                <w:rFonts w:hint="eastAsia"/>
                <w:color w:val="auto"/>
                <w:highlight w:val="none"/>
              </w:rPr>
              <w:t>.投标文件组成齐全完整，内容均按规定填写。</w:t>
            </w:r>
          </w:p>
          <w:p w14:paraId="7E1309D5">
            <w:pPr>
              <w:snapToGrid w:val="0"/>
              <w:spacing w:line="280" w:lineRule="exact"/>
              <w:ind w:firstLine="210" w:firstLineChars="100"/>
              <w:rPr>
                <w:rFonts w:hint="eastAsia"/>
                <w:color w:val="auto"/>
                <w:highlight w:val="none"/>
              </w:rPr>
            </w:pPr>
            <w:r>
              <w:rPr>
                <w:rFonts w:hint="eastAsia"/>
                <w:color w:val="auto"/>
                <w:highlight w:val="none"/>
              </w:rPr>
              <w:t>（2）投标文件上法定代表人或其委托代理人的签字、投标人的单位章盖章齐全，符合招标文件规定。</w:t>
            </w:r>
          </w:p>
          <w:p w14:paraId="6F1DEEF3">
            <w:pPr>
              <w:snapToGrid w:val="0"/>
              <w:spacing w:line="280" w:lineRule="exact"/>
              <w:ind w:firstLine="210" w:firstLineChars="100"/>
              <w:rPr>
                <w:color w:val="auto"/>
                <w:highlight w:val="none"/>
              </w:rPr>
            </w:pPr>
            <w:r>
              <w:rPr>
                <w:rFonts w:hint="eastAsia"/>
                <w:color w:val="auto"/>
                <w:highlight w:val="none"/>
              </w:rPr>
              <w:t>（3）投标人按照招标文件的规定提供了投标保证金。</w:t>
            </w:r>
          </w:p>
          <w:p w14:paraId="5B8C0937">
            <w:pPr>
              <w:snapToGrid w:val="0"/>
              <w:spacing w:line="280" w:lineRule="exact"/>
              <w:ind w:firstLine="210" w:firstLineChars="100"/>
              <w:rPr>
                <w:color w:val="auto"/>
                <w:highlight w:val="none"/>
              </w:rPr>
            </w:pPr>
            <w:r>
              <w:rPr>
                <w:rFonts w:hint="eastAsia"/>
                <w:color w:val="auto"/>
                <w:highlight w:val="none"/>
              </w:rPr>
              <w:t xml:space="preserve">（4）投标人法定代表人授权委托代理人签署投标文件的，须提交授权委托书，授权委托书的签字盖章符合招标文件规定，授权委托书只能授权给一名委托代理人。 </w:t>
            </w:r>
          </w:p>
          <w:p w14:paraId="30019F16">
            <w:pPr>
              <w:snapToGrid w:val="0"/>
              <w:spacing w:line="280" w:lineRule="exact"/>
              <w:ind w:firstLine="210" w:firstLineChars="100"/>
              <w:rPr>
                <w:rFonts w:hint="eastAsia"/>
                <w:color w:val="auto"/>
                <w:highlight w:val="none"/>
              </w:rPr>
            </w:pPr>
            <w:r>
              <w:rPr>
                <w:rFonts w:hint="eastAsia"/>
                <w:color w:val="auto"/>
                <w:highlight w:val="none"/>
              </w:rPr>
              <w:t>（5）投标人法定代表人亲自签署投标文件的，提供了法定代表人身份证明，法定代表人身份证明的签字盖章符合招标文件规定。</w:t>
            </w:r>
          </w:p>
          <w:p w14:paraId="015D8D2D">
            <w:pPr>
              <w:tabs>
                <w:tab w:val="left" w:pos="3060"/>
              </w:tabs>
              <w:spacing w:line="320" w:lineRule="exact"/>
              <w:ind w:firstLine="210" w:firstLineChars="100"/>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）投标人未以联合体形式投标。</w:t>
            </w:r>
          </w:p>
          <w:p w14:paraId="2CD67426">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未对本项目进行</w:t>
            </w:r>
            <w:r>
              <w:rPr>
                <w:rFonts w:hint="eastAsia" w:ascii="宋体" w:hAnsi="宋体" w:eastAsia="宋体" w:cs="宋体"/>
                <w:color w:val="auto"/>
                <w:sz w:val="21"/>
                <w:szCs w:val="21"/>
                <w:highlight w:val="none"/>
              </w:rPr>
              <w:t>分包。</w:t>
            </w:r>
          </w:p>
          <w:p w14:paraId="6163C1C9">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）同一投标人未提交两个以上不同的投标文件。</w:t>
            </w:r>
          </w:p>
          <w:p w14:paraId="6BEBF2C0">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）投标文件第一信封中未出现有关投标报价的内容。</w:t>
            </w:r>
          </w:p>
          <w:p w14:paraId="26920BC8">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）投标文件载明的招标项目完成期限未超过招标文件规定。</w:t>
            </w:r>
          </w:p>
          <w:p w14:paraId="0B6EB79E">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）投标文件对招标文件的实质性要求和条件作出响应。</w:t>
            </w:r>
          </w:p>
          <w:p w14:paraId="49C01549">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（12）权利义务符合招标文件规定：</w:t>
            </w:r>
          </w:p>
          <w:p w14:paraId="17D9B22C">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a.投标人应接受招标文件规定的风险划分原则，未提出新的风险划分办法；</w:t>
            </w:r>
          </w:p>
          <w:p w14:paraId="474F824A">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b.投标人未增加发包人的责任范围，或减少投标人义务；</w:t>
            </w:r>
          </w:p>
          <w:p w14:paraId="784F0B40">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c.投标人未提出不同的支付办法；</w:t>
            </w:r>
          </w:p>
          <w:p w14:paraId="5B5C5BE2">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d.投标人对合同纠纷、事故处理办法未提出异议；</w:t>
            </w:r>
          </w:p>
          <w:p w14:paraId="66B5619B">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e.投标人在投标活动中无欺诈行为；</w:t>
            </w:r>
          </w:p>
          <w:p w14:paraId="556DE27F">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f.投标人未对合同条款有重要保留。</w:t>
            </w:r>
          </w:p>
          <w:p w14:paraId="6C4D0DDA">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）投标人不存在投标人须知前附表4.4(1)、(3)项规定的情形</w:t>
            </w:r>
            <w:r>
              <w:rPr>
                <w:rFonts w:hint="eastAsia" w:ascii="宋体" w:hAnsi="宋体" w:eastAsia="宋体" w:cs="宋体"/>
                <w:color w:val="auto"/>
                <w:sz w:val="21"/>
                <w:szCs w:val="21"/>
                <w:highlight w:val="none"/>
                <w:lang w:eastAsia="zh-CN"/>
              </w:rPr>
              <w:t>。</w:t>
            </w:r>
          </w:p>
          <w:p w14:paraId="20B0161E">
            <w:pPr>
              <w:tabs>
                <w:tab w:val="left" w:pos="3060"/>
              </w:tabs>
              <w:spacing w:line="320" w:lineRule="exact"/>
              <w:ind w:firstLine="210" w:firstLineChars="100"/>
              <w:rPr>
                <w:rFonts w:hint="eastAsia"/>
                <w:color w:val="auto"/>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存在</w:t>
            </w:r>
            <w:r>
              <w:rPr>
                <w:rFonts w:hint="eastAsia" w:ascii="宋体" w:hAnsi="宋体" w:cs="宋体"/>
                <w:color w:val="auto"/>
                <w:sz w:val="21"/>
                <w:szCs w:val="21"/>
                <w:highlight w:val="none"/>
                <w:lang w:val="en-US" w:eastAsia="zh-CN"/>
              </w:rPr>
              <w:t>因</w:t>
            </w:r>
            <w:r>
              <w:rPr>
                <w:rFonts w:hint="eastAsia" w:ascii="宋体" w:hAnsi="宋体" w:eastAsia="宋体" w:cs="宋体"/>
                <w:color w:val="auto"/>
                <w:sz w:val="21"/>
                <w:szCs w:val="21"/>
                <w:highlight w:val="none"/>
              </w:rPr>
              <w:t>投标人须知前附表4.4(2)项规定的情形</w:t>
            </w:r>
            <w:r>
              <w:rPr>
                <w:rFonts w:hint="eastAsia" w:ascii="宋体" w:hAnsi="宋体" w:eastAsia="宋体" w:cs="宋体"/>
                <w:color w:val="auto"/>
                <w:sz w:val="21"/>
                <w:szCs w:val="21"/>
                <w:highlight w:val="none"/>
                <w:lang w:val="en-US" w:eastAsia="zh-CN"/>
              </w:rPr>
              <w:t>被评标委员会认定</w:t>
            </w:r>
            <w:r>
              <w:rPr>
                <w:rFonts w:hint="eastAsia" w:ascii="宋体" w:hAnsi="宋体" w:cs="宋体"/>
                <w:color w:val="auto"/>
                <w:sz w:val="21"/>
                <w:szCs w:val="21"/>
                <w:highlight w:val="none"/>
              </w:rPr>
              <w:t>投标文件异常一致或投标活动异常关联活动情形</w:t>
            </w:r>
            <w:r>
              <w:rPr>
                <w:rFonts w:hint="eastAsia" w:ascii="宋体" w:hAnsi="宋体" w:cs="宋体"/>
                <w:color w:val="auto"/>
                <w:sz w:val="21"/>
                <w:szCs w:val="21"/>
                <w:highlight w:val="none"/>
                <w:lang w:eastAsia="zh-CN"/>
              </w:rPr>
              <w:t>。</w:t>
            </w:r>
          </w:p>
          <w:p w14:paraId="16912599">
            <w:pPr>
              <w:tabs>
                <w:tab w:val="left" w:pos="3060"/>
              </w:tabs>
              <w:spacing w:line="320" w:lineRule="exact"/>
              <w:rPr>
                <w:rFonts w:hint="eastAsia"/>
                <w:color w:val="auto"/>
                <w:highlight w:val="none"/>
              </w:rPr>
            </w:pPr>
            <w:r>
              <w:rPr>
                <w:rFonts w:hint="eastAsia"/>
                <w:color w:val="auto"/>
                <w:highlight w:val="none"/>
              </w:rPr>
              <w:t>第二个信封（报价文件）评审标准：</w:t>
            </w:r>
          </w:p>
          <w:p w14:paraId="59CC6C62">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（1）投标文件按照招标文件规定的格式、内容填写，字迹清晰可辨：</w:t>
            </w:r>
          </w:p>
          <w:p w14:paraId="5C3C306C">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a.投标函按招标文件规定填报了项目名称、补遗书编号（如有）、投标价（包括大写金额和小写金额）；</w:t>
            </w:r>
          </w:p>
          <w:p w14:paraId="65916793">
            <w:pPr>
              <w:pStyle w:val="6"/>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Cs w:val="21"/>
                <w:highlight w:val="none"/>
              </w:rPr>
              <w:t>b.</w:t>
            </w:r>
            <w:r>
              <w:rPr>
                <w:rFonts w:hint="eastAsia" w:ascii="宋体" w:hAnsi="宋体" w:cs="宋体"/>
                <w:color w:val="auto"/>
                <w:sz w:val="21"/>
                <w:szCs w:val="21"/>
                <w:highlight w:val="none"/>
              </w:rPr>
              <w:t>投标文件组成齐全完整，内容均按规定填写。</w:t>
            </w:r>
          </w:p>
          <w:p w14:paraId="49D19691">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（2）投标文件上法定代表人或其委托代理人的签字、投标人的单位章盖章齐全，符合招标文件规定。</w:t>
            </w:r>
          </w:p>
          <w:p w14:paraId="1763B377">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（3）投标报价中的报价未超过招标文件设定的最高投标限价。</w:t>
            </w:r>
          </w:p>
          <w:p w14:paraId="1491033A">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（4）投标报价中报价的大写金额能够确定具体数值。</w:t>
            </w:r>
          </w:p>
          <w:p w14:paraId="4023CD7F">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（5）同一投标人未对同一标段提交两个以上不同的投标报价。</w:t>
            </w:r>
          </w:p>
          <w:p w14:paraId="63CABB31">
            <w:pPr>
              <w:tabs>
                <w:tab w:val="left" w:pos="3060"/>
              </w:tabs>
              <w:snapToGrid w:val="0"/>
              <w:spacing w:line="320" w:lineRule="exact"/>
              <w:ind w:firstLine="210" w:firstLineChars="100"/>
              <w:rPr>
                <w:rFonts w:hint="eastAsia"/>
                <w:color w:val="auto"/>
                <w:highlight w:val="none"/>
              </w:rPr>
            </w:pPr>
            <w:r>
              <w:rPr>
                <w:rFonts w:hint="eastAsia" w:ascii="宋体" w:hAnsi="宋体" w:cs="宋体"/>
                <w:color w:val="auto"/>
                <w:szCs w:val="21"/>
                <w:highlight w:val="none"/>
              </w:rPr>
              <w:t>（6）报价清单中的投标报价与投标函大写金额一致</w:t>
            </w:r>
            <w:r>
              <w:rPr>
                <w:rFonts w:hint="eastAsia"/>
                <w:color w:val="auto"/>
                <w:highlight w:val="none"/>
              </w:rPr>
              <w:t>。</w:t>
            </w:r>
          </w:p>
          <w:p w14:paraId="3D5F6A47">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投标人不存在投标人须知前附表4.4(1)、(3)项规定的情形</w:t>
            </w:r>
            <w:r>
              <w:rPr>
                <w:rFonts w:hint="eastAsia" w:ascii="宋体" w:hAnsi="宋体" w:eastAsia="宋体" w:cs="宋体"/>
                <w:bCs/>
                <w:color w:val="auto"/>
                <w:sz w:val="21"/>
                <w:szCs w:val="21"/>
                <w:highlight w:val="none"/>
                <w:lang w:eastAsia="zh-CN"/>
              </w:rPr>
              <w:t>。</w:t>
            </w:r>
          </w:p>
          <w:p w14:paraId="49E93633">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）投标人不存在</w:t>
            </w:r>
            <w:r>
              <w:rPr>
                <w:rFonts w:hint="eastAsia" w:ascii="宋体" w:hAnsi="宋体" w:eastAsia="宋体" w:cs="宋体"/>
                <w:bCs/>
                <w:color w:val="auto"/>
                <w:sz w:val="21"/>
                <w:szCs w:val="21"/>
                <w:highlight w:val="none"/>
                <w:lang w:val="en-US" w:eastAsia="zh-CN"/>
              </w:rPr>
              <w:t>因</w:t>
            </w:r>
            <w:r>
              <w:rPr>
                <w:rFonts w:hint="eastAsia" w:ascii="宋体" w:hAnsi="宋体" w:eastAsia="宋体" w:cs="宋体"/>
                <w:bCs/>
                <w:color w:val="auto"/>
                <w:sz w:val="21"/>
                <w:szCs w:val="21"/>
                <w:highlight w:val="none"/>
              </w:rPr>
              <w:t>投标人须知前附表4.4(2)项规定的情形</w:t>
            </w:r>
            <w:r>
              <w:rPr>
                <w:rFonts w:hint="eastAsia" w:ascii="宋体" w:hAnsi="宋体" w:eastAsia="宋体" w:cs="宋体"/>
                <w:bCs/>
                <w:color w:val="auto"/>
                <w:sz w:val="21"/>
                <w:szCs w:val="21"/>
                <w:highlight w:val="none"/>
                <w:lang w:val="en-US" w:eastAsia="zh-CN"/>
              </w:rPr>
              <w:t>被评标委员会认定为</w:t>
            </w:r>
            <w:r>
              <w:rPr>
                <w:rFonts w:hint="eastAsia" w:ascii="宋体" w:hAnsi="宋体" w:cs="宋体"/>
                <w:color w:val="auto"/>
                <w:sz w:val="21"/>
                <w:szCs w:val="21"/>
                <w:highlight w:val="none"/>
              </w:rPr>
              <w:t>投标文件异常一致或投标活动异常关联活动情形</w:t>
            </w:r>
            <w:r>
              <w:rPr>
                <w:rFonts w:hint="eastAsia" w:ascii="宋体" w:hAnsi="宋体" w:eastAsia="宋体" w:cs="宋体"/>
                <w:bCs/>
                <w:color w:val="auto"/>
                <w:sz w:val="21"/>
                <w:szCs w:val="21"/>
                <w:highlight w:val="none"/>
                <w:lang w:val="en-US" w:eastAsia="zh-CN"/>
              </w:rPr>
              <w:t>。</w:t>
            </w:r>
          </w:p>
          <w:p w14:paraId="206F8D4B">
            <w:pPr>
              <w:tabs>
                <w:tab w:val="left" w:pos="3060"/>
              </w:tabs>
              <w:snapToGrid w:val="0"/>
              <w:spacing w:line="320" w:lineRule="exact"/>
              <w:ind w:firstLine="210" w:firstLineChars="100"/>
              <w:rPr>
                <w:rFonts w:hint="eastAsia"/>
                <w:color w:val="auto"/>
                <w:highlight w:val="none"/>
              </w:rPr>
            </w:pPr>
            <w:r>
              <w:rPr>
                <w:rFonts w:hint="eastAsia" w:ascii="宋体" w:hAnsi="宋体" w:eastAsia="宋体" w:cs="宋体"/>
                <w:bCs/>
                <w:color w:val="auto"/>
                <w:sz w:val="21"/>
                <w:szCs w:val="21"/>
                <w:highlight w:val="none"/>
                <w:lang w:val="en-US" w:eastAsia="zh-CN"/>
              </w:rPr>
              <w:t>（9）投标人不存在因投标人须知前附表3.2.5项规定被评标委员会认定为低于成本或影响履约的异常低价竞标的情形。</w:t>
            </w:r>
          </w:p>
        </w:tc>
      </w:tr>
      <w:tr w14:paraId="7196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1143" w:type="dxa"/>
            <w:noWrap w:val="0"/>
            <w:vAlign w:val="center"/>
          </w:tcPr>
          <w:p w14:paraId="50C8B1AE">
            <w:pPr>
              <w:adjustRightInd w:val="0"/>
              <w:snapToGrid w:val="0"/>
              <w:jc w:val="center"/>
              <w:rPr>
                <w:rFonts w:ascii="宋体" w:hAnsi="宋体"/>
                <w:color w:val="auto"/>
                <w:szCs w:val="21"/>
                <w:highlight w:val="none"/>
              </w:rPr>
            </w:pPr>
            <w:r>
              <w:rPr>
                <w:rFonts w:hint="eastAsia" w:ascii="宋体" w:hAnsi="宋体"/>
                <w:color w:val="auto"/>
                <w:szCs w:val="21"/>
                <w:highlight w:val="none"/>
              </w:rPr>
              <w:t>2.1.2</w:t>
            </w:r>
          </w:p>
        </w:tc>
        <w:tc>
          <w:tcPr>
            <w:tcW w:w="1317" w:type="dxa"/>
            <w:noWrap w:val="0"/>
            <w:vAlign w:val="center"/>
          </w:tcPr>
          <w:p w14:paraId="50413B1E">
            <w:pPr>
              <w:adjustRightInd w:val="0"/>
              <w:snapToGrid w:val="0"/>
              <w:jc w:val="center"/>
              <w:rPr>
                <w:rFonts w:ascii="宋体" w:hAnsi="宋体"/>
                <w:color w:val="auto"/>
                <w:szCs w:val="21"/>
                <w:highlight w:val="none"/>
              </w:rPr>
            </w:pPr>
            <w:r>
              <w:rPr>
                <w:rFonts w:hint="eastAsia" w:ascii="宋体" w:hAnsi="宋体"/>
                <w:color w:val="auto"/>
                <w:szCs w:val="21"/>
                <w:highlight w:val="none"/>
              </w:rPr>
              <w:t>资格评审标准</w:t>
            </w:r>
          </w:p>
        </w:tc>
        <w:tc>
          <w:tcPr>
            <w:tcW w:w="7197" w:type="dxa"/>
            <w:noWrap w:val="0"/>
            <w:vAlign w:val="top"/>
          </w:tcPr>
          <w:p w14:paraId="67BF0FEF">
            <w:pPr>
              <w:numPr>
                <w:ilvl w:val="0"/>
                <w:numId w:val="0"/>
              </w:numPr>
              <w:tabs>
                <w:tab w:val="left" w:pos="3060"/>
              </w:tabs>
              <w:spacing w:line="3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投标人具备有效的营业执照</w:t>
            </w:r>
            <w:r>
              <w:rPr>
                <w:rFonts w:hint="eastAsia" w:ascii="宋体" w:hAnsi="宋体" w:cs="宋体"/>
                <w:color w:val="auto"/>
                <w:szCs w:val="21"/>
                <w:highlight w:val="none"/>
                <w:lang w:eastAsia="zh-CN"/>
              </w:rPr>
              <w:t>；</w:t>
            </w:r>
          </w:p>
          <w:p w14:paraId="68775CB3">
            <w:pPr>
              <w:pStyle w:val="6"/>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投标人的资质等级符合招标文件规定；</w:t>
            </w:r>
          </w:p>
          <w:p w14:paraId="1CC06B5E">
            <w:pPr>
              <w:pStyle w:val="6"/>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投标人的类似项目业绩符合招标文件规定；</w:t>
            </w:r>
          </w:p>
          <w:p w14:paraId="0C62121C">
            <w:pPr>
              <w:tabs>
                <w:tab w:val="left" w:pos="3060"/>
              </w:tabs>
              <w:spacing w:line="320" w:lineRule="exac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）投标人的信誉符合招标文件规定；</w:t>
            </w:r>
          </w:p>
          <w:p w14:paraId="7EDEC542">
            <w:pPr>
              <w:tabs>
                <w:tab w:val="left" w:pos="3060"/>
              </w:tabs>
              <w:spacing w:line="320" w:lineRule="exact"/>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）投标人不存在第二章“投标人须知”第1.4.3项和1.4.4项规定的任何一种情形。</w:t>
            </w:r>
          </w:p>
        </w:tc>
      </w:tr>
      <w:tr w14:paraId="2243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7E37012A">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1317" w:type="dxa"/>
            <w:noWrap w:val="0"/>
            <w:vAlign w:val="center"/>
          </w:tcPr>
          <w:p w14:paraId="1A14E4F1">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7197" w:type="dxa"/>
            <w:noWrap w:val="0"/>
            <w:vAlign w:val="center"/>
          </w:tcPr>
          <w:p w14:paraId="40F56EF7">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660E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25BF885E">
            <w:pPr>
              <w:adjustRightInd w:val="0"/>
              <w:snapToGrid w:val="0"/>
              <w:jc w:val="center"/>
              <w:rPr>
                <w:rFonts w:ascii="宋体" w:hAnsi="宋体"/>
                <w:color w:val="auto"/>
                <w:highlight w:val="none"/>
              </w:rPr>
            </w:pPr>
            <w:r>
              <w:rPr>
                <w:rFonts w:hint="eastAsia" w:ascii="宋体" w:hAnsi="宋体"/>
                <w:color w:val="auto"/>
                <w:highlight w:val="none"/>
              </w:rPr>
              <w:t>2.2.1</w:t>
            </w:r>
          </w:p>
        </w:tc>
        <w:tc>
          <w:tcPr>
            <w:tcW w:w="1317" w:type="dxa"/>
            <w:noWrap w:val="0"/>
            <w:vAlign w:val="center"/>
          </w:tcPr>
          <w:p w14:paraId="0F2B1D19">
            <w:pPr>
              <w:adjustRightInd w:val="0"/>
              <w:snapToGrid w:val="0"/>
              <w:jc w:val="center"/>
              <w:rPr>
                <w:rFonts w:ascii="宋体" w:hAnsi="宋体"/>
                <w:color w:val="auto"/>
                <w:highlight w:val="none"/>
              </w:rPr>
            </w:pPr>
            <w:r>
              <w:rPr>
                <w:rFonts w:hint="eastAsia" w:ascii="宋体" w:hAnsi="宋体"/>
                <w:color w:val="auto"/>
                <w:highlight w:val="none"/>
              </w:rPr>
              <w:t>分值构成（总分100分）</w:t>
            </w:r>
          </w:p>
        </w:tc>
        <w:tc>
          <w:tcPr>
            <w:tcW w:w="7197" w:type="dxa"/>
            <w:noWrap w:val="0"/>
            <w:vAlign w:val="center"/>
          </w:tcPr>
          <w:p w14:paraId="19C1CE48">
            <w:pPr>
              <w:adjustRightInd w:val="0"/>
              <w:snapToGrid w:val="0"/>
              <w:rPr>
                <w:rFonts w:hint="eastAsia" w:ascii="宋体" w:hAnsi="宋体"/>
                <w:b/>
                <w:color w:val="auto"/>
                <w:highlight w:val="none"/>
              </w:rPr>
            </w:pPr>
            <w:r>
              <w:rPr>
                <w:rFonts w:hint="eastAsia" w:ascii="宋体" w:hAnsi="宋体"/>
                <w:b/>
                <w:color w:val="auto"/>
                <w:highlight w:val="none"/>
              </w:rPr>
              <w:t>第一个信封（商务及技术文件）评分分值构成：</w:t>
            </w:r>
          </w:p>
          <w:p w14:paraId="575B8103">
            <w:pPr>
              <w:autoSpaceDE w:val="0"/>
              <w:autoSpaceDN w:val="0"/>
              <w:adjustRightInd w:val="0"/>
              <w:snapToGrid w:val="0"/>
              <w:spacing w:line="340" w:lineRule="exact"/>
              <w:rPr>
                <w:rFonts w:ascii="宋体" w:hAnsi="宋体" w:cs="微软雅黑"/>
                <w:color w:val="auto"/>
                <w:kern w:val="0"/>
                <w:szCs w:val="21"/>
                <w:highlight w:val="none"/>
                <w:u w:val="single"/>
              </w:rPr>
            </w:pPr>
            <w:r>
              <w:rPr>
                <w:rFonts w:hint="eastAsia" w:ascii="宋体" w:hAnsi="宋体" w:cs="微软雅黑"/>
                <w:color w:val="auto"/>
                <w:kern w:val="0"/>
                <w:szCs w:val="21"/>
                <w:highlight w:val="none"/>
                <w:lang w:val="en-US" w:eastAsia="zh-CN"/>
              </w:rPr>
              <w:t>商务部分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1</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u w:val="single"/>
              </w:rPr>
              <w:t>分</w:t>
            </w:r>
          </w:p>
          <w:p w14:paraId="158447FD">
            <w:pPr>
              <w:autoSpaceDE w:val="0"/>
              <w:autoSpaceDN w:val="0"/>
              <w:adjustRightInd w:val="0"/>
              <w:snapToGrid w:val="0"/>
              <w:spacing w:line="340" w:lineRule="exact"/>
              <w:rPr>
                <w:rFonts w:ascii="宋体" w:hAnsi="宋体" w:cs="微软雅黑"/>
                <w:color w:val="auto"/>
                <w:kern w:val="0"/>
                <w:szCs w:val="21"/>
                <w:highlight w:val="none"/>
              </w:rPr>
            </w:pPr>
            <w:r>
              <w:rPr>
                <w:rFonts w:hint="eastAsia" w:ascii="宋体" w:hAnsi="宋体" w:cs="微软雅黑"/>
                <w:color w:val="auto"/>
                <w:kern w:val="0"/>
                <w:szCs w:val="21"/>
                <w:highlight w:val="none"/>
                <w:lang w:val="en-US" w:eastAsia="zh-CN"/>
              </w:rPr>
              <w:t>技术部分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4</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rPr>
              <w:t>分</w:t>
            </w:r>
            <w:r>
              <w:rPr>
                <w:rFonts w:ascii="宋体" w:hAnsi="宋体" w:cs="微软雅黑"/>
                <w:color w:val="auto"/>
                <w:kern w:val="0"/>
                <w:szCs w:val="21"/>
                <w:highlight w:val="none"/>
              </w:rPr>
              <w:t xml:space="preserve"> </w:t>
            </w:r>
          </w:p>
          <w:p w14:paraId="03459E32">
            <w:pPr>
              <w:adjustRightInd w:val="0"/>
              <w:snapToGrid w:val="0"/>
              <w:rPr>
                <w:rFonts w:hint="eastAsia" w:ascii="宋体" w:hAnsi="宋体"/>
                <w:b/>
                <w:color w:val="auto"/>
                <w:highlight w:val="none"/>
              </w:rPr>
            </w:pPr>
            <w:r>
              <w:rPr>
                <w:rFonts w:hint="eastAsia" w:ascii="宋体" w:hAnsi="宋体"/>
                <w:b/>
                <w:color w:val="auto"/>
                <w:highlight w:val="none"/>
              </w:rPr>
              <w:t>第二个信封（报价文件）评分分值构成：</w:t>
            </w:r>
          </w:p>
          <w:p w14:paraId="15C92B0E">
            <w:pPr>
              <w:adjustRightInd w:val="0"/>
              <w:snapToGrid w:val="0"/>
              <w:rPr>
                <w:rFonts w:ascii="宋体" w:hAnsi="宋体"/>
                <w:color w:val="auto"/>
                <w:highlight w:val="none"/>
              </w:rPr>
            </w:pPr>
            <w:r>
              <w:rPr>
                <w:rFonts w:hint="eastAsia" w:ascii="宋体" w:hAnsi="宋体"/>
                <w:color w:val="auto"/>
                <w:highlight w:val="none"/>
              </w:rPr>
              <w:t>评 标 价：</w:t>
            </w:r>
            <w:r>
              <w:rPr>
                <w:rFonts w:hint="eastAsia" w:ascii="宋体" w:hAnsi="宋体"/>
                <w:color w:val="auto"/>
                <w:highlight w:val="none"/>
                <w:u w:val="single"/>
                <w:lang w:val="en-US" w:eastAsia="zh-CN"/>
              </w:rPr>
              <w:t>5</w:t>
            </w:r>
            <w:r>
              <w:rPr>
                <w:rFonts w:hint="eastAsia" w:ascii="宋体" w:hAnsi="宋体"/>
                <w:color w:val="auto"/>
                <w:highlight w:val="none"/>
                <w:u w:val="single"/>
              </w:rPr>
              <w:t>0</w:t>
            </w:r>
            <w:r>
              <w:rPr>
                <w:rFonts w:hint="eastAsia" w:ascii="宋体" w:hAnsi="宋体"/>
                <w:color w:val="auto"/>
                <w:highlight w:val="none"/>
              </w:rPr>
              <w:t>分</w:t>
            </w:r>
          </w:p>
        </w:tc>
      </w:tr>
      <w:tr w14:paraId="5A38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5E232DBA">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2.2.2</w:t>
            </w:r>
          </w:p>
        </w:tc>
        <w:tc>
          <w:tcPr>
            <w:tcW w:w="1317" w:type="dxa"/>
            <w:noWrap w:val="0"/>
            <w:vAlign w:val="center"/>
          </w:tcPr>
          <w:p w14:paraId="496673CD">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评标基准价计算方法</w:t>
            </w:r>
          </w:p>
        </w:tc>
        <w:tc>
          <w:tcPr>
            <w:tcW w:w="7197" w:type="dxa"/>
            <w:noWrap w:val="0"/>
            <w:vAlign w:val="center"/>
          </w:tcPr>
          <w:p w14:paraId="6FF74BB5">
            <w:pPr>
              <w:pStyle w:val="10"/>
              <w:spacing w:line="300" w:lineRule="exact"/>
              <w:ind w:firstLine="0" w:firstLineChars="0"/>
              <w:rPr>
                <w:rFonts w:hint="eastAsia"/>
                <w:color w:val="auto"/>
                <w:sz w:val="21"/>
                <w:highlight w:val="none"/>
              </w:rPr>
            </w:pPr>
            <w:r>
              <w:rPr>
                <w:rFonts w:hint="eastAsia"/>
                <w:color w:val="auto"/>
                <w:sz w:val="21"/>
                <w:highlight w:val="none"/>
              </w:rPr>
              <w:t>评标基准价的计算：</w:t>
            </w:r>
          </w:p>
          <w:p w14:paraId="55D81300">
            <w:pPr>
              <w:pStyle w:val="10"/>
              <w:spacing w:line="300" w:lineRule="exact"/>
              <w:ind w:firstLine="0" w:firstLineChars="0"/>
              <w:rPr>
                <w:rFonts w:hint="eastAsia"/>
                <w:color w:val="auto"/>
                <w:sz w:val="21"/>
                <w:highlight w:val="none"/>
              </w:rPr>
            </w:pPr>
            <w:r>
              <w:rPr>
                <w:rFonts w:hint="eastAsia"/>
                <w:color w:val="auto"/>
                <w:sz w:val="21"/>
                <w:highlight w:val="none"/>
              </w:rPr>
              <w:t xml:space="preserve">    </w:t>
            </w:r>
            <w:r>
              <w:rPr>
                <w:rFonts w:hint="eastAsia"/>
                <w:color w:val="auto"/>
                <w:sz w:val="21"/>
                <w:highlight w:val="none"/>
                <w:lang w:val="en-US" w:eastAsia="zh-CN"/>
              </w:rPr>
              <w:t>在第二信封</w:t>
            </w:r>
            <w:r>
              <w:rPr>
                <w:rFonts w:hint="eastAsia"/>
                <w:color w:val="auto"/>
                <w:sz w:val="21"/>
                <w:highlight w:val="none"/>
              </w:rPr>
              <w:t>开标现场，招标人将当场计算并宣布评标基准价。</w:t>
            </w:r>
          </w:p>
          <w:p w14:paraId="2AE5C115">
            <w:pPr>
              <w:pStyle w:val="10"/>
              <w:spacing w:line="300" w:lineRule="exact"/>
              <w:rPr>
                <w:rFonts w:hint="eastAsia"/>
                <w:color w:val="auto"/>
                <w:sz w:val="21"/>
                <w:highlight w:val="none"/>
              </w:rPr>
            </w:pPr>
            <w:r>
              <w:rPr>
                <w:rFonts w:hint="eastAsia"/>
                <w:color w:val="auto"/>
                <w:sz w:val="21"/>
                <w:highlight w:val="none"/>
              </w:rPr>
              <w:t>1、评标价的确定：</w:t>
            </w:r>
          </w:p>
          <w:p w14:paraId="2759F5D7">
            <w:pPr>
              <w:pStyle w:val="10"/>
              <w:spacing w:line="300" w:lineRule="exact"/>
              <w:rPr>
                <w:rFonts w:hint="eastAsia"/>
                <w:color w:val="auto"/>
                <w:sz w:val="21"/>
                <w:highlight w:val="none"/>
              </w:rPr>
            </w:pPr>
            <w:r>
              <w:rPr>
                <w:rFonts w:hint="eastAsia"/>
                <w:color w:val="auto"/>
                <w:sz w:val="21"/>
                <w:highlight w:val="none"/>
              </w:rPr>
              <w:t>评标价=投标函文字报价</w:t>
            </w:r>
          </w:p>
          <w:p w14:paraId="496CB39E">
            <w:pPr>
              <w:pStyle w:val="10"/>
              <w:spacing w:line="300" w:lineRule="exact"/>
              <w:rPr>
                <w:rFonts w:hint="eastAsia"/>
                <w:color w:val="auto"/>
                <w:sz w:val="21"/>
                <w:highlight w:val="none"/>
              </w:rPr>
            </w:pPr>
            <w:r>
              <w:rPr>
                <w:rFonts w:hint="eastAsia"/>
                <w:color w:val="auto"/>
                <w:sz w:val="21"/>
                <w:highlight w:val="none"/>
              </w:rPr>
              <w:t>2、评标价平均值的计算：</w:t>
            </w:r>
          </w:p>
          <w:p w14:paraId="24ACFC8E">
            <w:pPr>
              <w:pStyle w:val="10"/>
              <w:spacing w:line="300" w:lineRule="exact"/>
              <w:rPr>
                <w:rFonts w:hint="eastAsia"/>
                <w:color w:val="auto"/>
                <w:sz w:val="21"/>
                <w:highlight w:val="none"/>
              </w:rPr>
            </w:pPr>
            <w:r>
              <w:rPr>
                <w:rFonts w:hint="eastAsia"/>
                <w:color w:val="auto"/>
                <w:sz w:val="21"/>
                <w:highlight w:val="none"/>
              </w:rPr>
              <w:t>除按第二章“投标人须知”第5.2.4项规定开标现场被宣布为不进入评标基准价计算的投标报价之外，所有投标人的评标价去掉一个最高值和一个最低值后的算数平均值即为评标价平均值（如果参与评标价平均值计算的有效投标人少于5家时，则计算评标价平均值时不去掉最高值和最低值）。</w:t>
            </w:r>
          </w:p>
          <w:p w14:paraId="20B34160">
            <w:pPr>
              <w:pStyle w:val="10"/>
              <w:spacing w:line="300" w:lineRule="exact"/>
              <w:rPr>
                <w:rFonts w:hint="eastAsia"/>
                <w:color w:val="auto"/>
                <w:sz w:val="21"/>
                <w:highlight w:val="none"/>
              </w:rPr>
            </w:pPr>
            <w:r>
              <w:rPr>
                <w:rFonts w:hint="eastAsia"/>
                <w:color w:val="auto"/>
                <w:sz w:val="21"/>
                <w:highlight w:val="none"/>
              </w:rPr>
              <w:t xml:space="preserve">3、评标基准价的确定： </w:t>
            </w:r>
          </w:p>
          <w:p w14:paraId="6C578005">
            <w:pPr>
              <w:pStyle w:val="10"/>
              <w:spacing w:line="300" w:lineRule="exact"/>
              <w:rPr>
                <w:rFonts w:hint="eastAsia"/>
                <w:color w:val="auto"/>
                <w:sz w:val="21"/>
                <w:highlight w:val="none"/>
              </w:rPr>
            </w:pPr>
            <w:r>
              <w:rPr>
                <w:rFonts w:hint="eastAsia"/>
                <w:color w:val="auto"/>
                <w:sz w:val="21"/>
                <w:highlight w:val="none"/>
              </w:rPr>
              <w:t xml:space="preserve">评标价平均值直接作为评标基准价。 </w:t>
            </w:r>
          </w:p>
          <w:p w14:paraId="1CE32391">
            <w:pPr>
              <w:pStyle w:val="10"/>
              <w:spacing w:line="300" w:lineRule="exact"/>
              <w:rPr>
                <w:rFonts w:hint="eastAsia"/>
                <w:color w:val="auto"/>
                <w:sz w:val="21"/>
                <w:highlight w:val="none"/>
              </w:rPr>
            </w:pPr>
            <w:r>
              <w:rPr>
                <w:rFonts w:hint="eastAsia"/>
                <w:color w:val="auto"/>
                <w:sz w:val="21"/>
                <w:highlight w:val="none"/>
              </w:rPr>
              <w:t>评标基准价保留小数点后两位，小数点后第三位四舍五入。</w:t>
            </w:r>
          </w:p>
          <w:p w14:paraId="225DB0DC">
            <w:pPr>
              <w:adjustRightInd w:val="0"/>
              <w:snapToGrid w:val="0"/>
              <w:spacing w:line="320" w:lineRule="exact"/>
              <w:ind w:firstLine="420" w:firstLineChars="200"/>
              <w:rPr>
                <w:rFonts w:hint="eastAsia" w:ascii="宋体" w:hAnsi="宋体"/>
                <w:color w:val="auto"/>
                <w:szCs w:val="21"/>
                <w:highlight w:val="none"/>
              </w:rPr>
            </w:pPr>
            <w:r>
              <w:rPr>
                <w:rFonts w:hint="eastAsia"/>
                <w:color w:val="auto"/>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5658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4DCEBBB6">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2.2.3</w:t>
            </w:r>
          </w:p>
        </w:tc>
        <w:tc>
          <w:tcPr>
            <w:tcW w:w="1317" w:type="dxa"/>
            <w:noWrap w:val="0"/>
            <w:vAlign w:val="center"/>
          </w:tcPr>
          <w:p w14:paraId="103B393E">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评标价的偏差率计算公式</w:t>
            </w:r>
          </w:p>
        </w:tc>
        <w:tc>
          <w:tcPr>
            <w:tcW w:w="7197" w:type="dxa"/>
            <w:noWrap w:val="0"/>
            <w:vAlign w:val="center"/>
          </w:tcPr>
          <w:p w14:paraId="1186C58D">
            <w:pPr>
              <w:adjustRightInd w:val="0"/>
              <w:snapToGrid w:val="0"/>
              <w:spacing w:line="300" w:lineRule="exact"/>
              <w:rPr>
                <w:rFonts w:hint="eastAsia" w:ascii="宋体" w:hAnsi="宋体"/>
                <w:color w:val="auto"/>
                <w:highlight w:val="none"/>
              </w:rPr>
            </w:pPr>
            <w:r>
              <w:rPr>
                <w:rFonts w:hint="eastAsia" w:ascii="宋体" w:hAnsi="宋体"/>
                <w:color w:val="auto"/>
                <w:highlight w:val="none"/>
              </w:rPr>
              <w:t>偏差率=100%×（投标人评标价-评标基准价）/评标基准价</w:t>
            </w:r>
          </w:p>
        </w:tc>
      </w:tr>
      <w:tr w14:paraId="07BE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1B39E9B">
            <w:pPr>
              <w:keepNext w:val="0"/>
              <w:keepLines w:val="0"/>
              <w:pageBreakBefore w:val="0"/>
              <w:widowControl w:val="0"/>
              <w:suppressLineNumbers w:val="0"/>
              <w:kinsoku/>
              <w:wordWrap/>
              <w:overflowPunct/>
              <w:topLinePunct w:val="0"/>
              <w:bidi w:val="0"/>
              <w:snapToGrid w:val="0"/>
              <w:spacing w:before="0" w:beforeAutospacing="0" w:after="0" w:afterAutospacing="0" w:line="320" w:lineRule="exact"/>
              <w:ind w:right="0" w:rightChars="0"/>
              <w:jc w:val="center"/>
              <w:textAlignment w:val="auto"/>
              <w:rPr>
                <w:rFonts w:ascii="宋体" w:hAnsi="宋体"/>
                <w:color w:val="auto"/>
                <w:szCs w:val="21"/>
                <w:highlight w:val="none"/>
              </w:rPr>
            </w:pPr>
            <w:r>
              <w:rPr>
                <w:rFonts w:hint="eastAsia" w:ascii="宋体" w:hAnsi="宋体" w:cs="宋体"/>
                <w:strike w:val="0"/>
                <w:dstrike w:val="0"/>
                <w:color w:val="auto"/>
                <w:sz w:val="21"/>
                <w:szCs w:val="21"/>
                <w:highlight w:val="none"/>
                <w:lang w:val="en-US" w:eastAsia="zh-CN"/>
              </w:rPr>
              <w:t>3.5.3</w:t>
            </w:r>
          </w:p>
        </w:tc>
        <w:tc>
          <w:tcPr>
            <w:tcW w:w="1317" w:type="dxa"/>
            <w:noWrap w:val="0"/>
            <w:vAlign w:val="center"/>
          </w:tcPr>
          <w:p w14:paraId="36F2BF6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20" w:lineRule="exact"/>
              <w:ind w:left="0" w:leftChars="0" w:right="0" w:rightChars="0"/>
              <w:jc w:val="center"/>
              <w:textAlignment w:val="auto"/>
              <w:rPr>
                <w:rFonts w:hint="eastAsia" w:ascii="宋体" w:hAnsi="宋体"/>
                <w:color w:val="auto"/>
                <w:szCs w:val="21"/>
                <w:highlight w:val="none"/>
              </w:rPr>
            </w:pPr>
            <w:r>
              <w:rPr>
                <w:rFonts w:hint="eastAsia" w:ascii="宋体" w:hAnsi="宋体" w:cs="宋体"/>
                <w:color w:val="auto"/>
                <w:sz w:val="21"/>
                <w:szCs w:val="21"/>
                <w:highlight w:val="none"/>
                <w:lang w:val="en-US" w:eastAsia="zh-CN"/>
              </w:rPr>
              <w:t>异常低价情形</w:t>
            </w:r>
          </w:p>
        </w:tc>
        <w:tc>
          <w:tcPr>
            <w:tcW w:w="7197" w:type="dxa"/>
            <w:noWrap w:val="0"/>
            <w:vAlign w:val="center"/>
          </w:tcPr>
          <w:p w14:paraId="28F276C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本款修改为：</w:t>
            </w:r>
          </w:p>
          <w:p w14:paraId="417BD05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rightChars="0" w:firstLine="420" w:firstLineChars="200"/>
              <w:textAlignment w:val="auto"/>
              <w:rPr>
                <w:rFonts w:hint="default" w:ascii="宋体" w:hAnsi="宋体" w:eastAsia="宋体"/>
                <w:color w:val="auto"/>
                <w:highlight w:val="none"/>
                <w:lang w:val="en-US" w:eastAsia="zh-CN"/>
              </w:rPr>
            </w:pPr>
            <w:r>
              <w:rPr>
                <w:rFonts w:hint="eastAsia" w:ascii="宋体" w:hAnsi="宋体" w:cs="宋体"/>
                <w:color w:val="auto"/>
                <w:sz w:val="21"/>
                <w:szCs w:val="21"/>
                <w:highlight w:val="none"/>
                <w:lang w:val="en-US" w:eastAsia="zh-CN"/>
              </w:rPr>
              <w:t>存在投标人须知前附表3.2.5项情形的应当要求该投标人作出书面说明并提供相应的证明材料，并在规定时间内进行答复。投标人不能合理说明或者不能提供相应证明材料的，评标委员会应当认定该投标人以低于成本或影响履约的异常低价投标，否决其投标</w:t>
            </w:r>
            <w:r>
              <w:rPr>
                <w:rFonts w:hint="eastAsia" w:ascii="宋体" w:hAnsi="宋体" w:cs="宋体"/>
                <w:bCs/>
                <w:color w:val="auto"/>
                <w:sz w:val="21"/>
                <w:szCs w:val="21"/>
                <w:highlight w:val="none"/>
                <w:lang w:val="en-US" w:eastAsia="zh-CN"/>
              </w:rPr>
              <w:t>。</w:t>
            </w:r>
          </w:p>
        </w:tc>
      </w:tr>
      <w:tr w14:paraId="0DD8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463B80F">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3.6.1</w:t>
            </w:r>
          </w:p>
        </w:tc>
        <w:tc>
          <w:tcPr>
            <w:tcW w:w="1317" w:type="dxa"/>
            <w:noWrap w:val="0"/>
            <w:vAlign w:val="center"/>
          </w:tcPr>
          <w:p w14:paraId="0A2DD0A6">
            <w:pPr>
              <w:adjustRightInd w:val="0"/>
              <w:snapToGrid w:val="0"/>
              <w:spacing w:line="300" w:lineRule="exact"/>
              <w:jc w:val="center"/>
              <w:rPr>
                <w:rFonts w:hint="eastAsia" w:ascii="宋体" w:hAnsi="宋体"/>
                <w:color w:val="auto"/>
                <w:szCs w:val="21"/>
                <w:highlight w:val="none"/>
              </w:rPr>
            </w:pPr>
            <w:r>
              <w:rPr>
                <w:rFonts w:hint="eastAsia" w:ascii="宋体" w:hAnsi="宋体" w:cs="宋体"/>
                <w:color w:val="auto"/>
                <w:szCs w:val="21"/>
                <w:highlight w:val="none"/>
              </w:rPr>
              <w:t>信息查询</w:t>
            </w:r>
          </w:p>
        </w:tc>
        <w:tc>
          <w:tcPr>
            <w:tcW w:w="7197" w:type="dxa"/>
            <w:noWrap w:val="0"/>
            <w:vAlign w:val="center"/>
          </w:tcPr>
          <w:p w14:paraId="26EA5C3E">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在评标过程中，评标委员会应对以下信息进行查询：</w:t>
            </w:r>
          </w:p>
          <w:p w14:paraId="56A327D4">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评标委员会评标时在“国家企业信用信息公示系统”和“信用中国”网站对投标人的信用情况进行查询，若投标人存在“国家企业信用信息公示系统” 被列入严重违法失信企业名单（不含分公司）或在“信用中国”网站被列入失信被执行人</w:t>
            </w:r>
            <w:r>
              <w:rPr>
                <w:rFonts w:hint="eastAsia" w:ascii="宋体" w:hAnsi="宋体"/>
                <w:color w:val="auto"/>
                <w:szCs w:val="21"/>
                <w:highlight w:val="none"/>
              </w:rPr>
              <w:t>、经营（活动）异常名录、重大税收违法失信主体名单</w:t>
            </w:r>
            <w:r>
              <w:rPr>
                <w:rFonts w:hint="eastAsia" w:ascii="宋体" w:hAnsi="宋体" w:cs="宋体"/>
                <w:color w:val="auto"/>
                <w:szCs w:val="21"/>
                <w:highlight w:val="none"/>
              </w:rPr>
              <w:t>（均不含分公司）情形的，评标委员会应否决其投标。</w:t>
            </w:r>
          </w:p>
          <w:p w14:paraId="76DF4F61">
            <w:pPr>
              <w:snapToGrid w:val="0"/>
              <w:spacing w:line="320" w:lineRule="exact"/>
              <w:ind w:firstLine="420" w:firstLineChars="200"/>
              <w:rPr>
                <w:rFonts w:hint="eastAsia" w:ascii="宋体" w:hAnsi="宋体" w:cs="宋体"/>
                <w:color w:val="auto"/>
                <w:szCs w:val="21"/>
                <w:highlight w:val="none"/>
              </w:rPr>
            </w:pPr>
            <w:r>
              <w:rPr>
                <w:rFonts w:hint="eastAsia" w:ascii="宋体" w:hAnsi="宋体"/>
                <w:color w:val="auto"/>
                <w:highlight w:val="none"/>
              </w:rPr>
              <w:t>如投标人未提供相关网页截图或所附截图与复核结果不一致，评标委员会应否决其投标</w:t>
            </w:r>
            <w:r>
              <w:rPr>
                <w:rFonts w:hint="eastAsia" w:ascii="宋体" w:hAnsi="宋体" w:cs="宋体"/>
                <w:color w:val="auto"/>
                <w:szCs w:val="21"/>
                <w:highlight w:val="none"/>
              </w:rPr>
              <w:t>。</w:t>
            </w:r>
          </w:p>
          <w:p w14:paraId="12B595FB">
            <w:pPr>
              <w:snapToGrid w:val="0"/>
              <w:spacing w:line="320" w:lineRule="exact"/>
              <w:ind w:firstLine="420" w:firstLineChars="200"/>
              <w:rPr>
                <w:rFonts w:hint="default" w:ascii="宋体" w:hAnsi="宋体" w:eastAsia="宋体"/>
                <w:color w:val="auto"/>
                <w:highlight w:val="none"/>
                <w:lang w:val="en-US" w:eastAsia="zh-CN"/>
              </w:rPr>
            </w:pPr>
            <w:r>
              <w:rPr>
                <w:rFonts w:hint="eastAsia" w:ascii="宋体" w:hAnsi="宋体"/>
                <w:color w:val="auto"/>
                <w:highlight w:val="none"/>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r>
              <w:rPr>
                <w:rFonts w:hint="eastAsia" w:ascii="宋体" w:hAnsi="宋体" w:cs="宋体"/>
                <w:color w:val="auto"/>
                <w:szCs w:val="21"/>
                <w:highlight w:val="none"/>
              </w:rPr>
              <w:t>。</w:t>
            </w:r>
          </w:p>
        </w:tc>
      </w:tr>
    </w:tbl>
    <w:p w14:paraId="634FC1CD">
      <w:pPr>
        <w:autoSpaceDE w:val="0"/>
        <w:autoSpaceDN w:val="0"/>
        <w:adjustRightInd w:val="0"/>
        <w:snapToGrid w:val="0"/>
        <w:spacing w:line="360" w:lineRule="auto"/>
        <w:ind w:left="119" w:right="113"/>
        <w:jc w:val="left"/>
        <w:rPr>
          <w:rFonts w:ascii="宋体" w:hAnsi="宋体"/>
          <w:color w:val="auto"/>
          <w:highlight w:val="none"/>
        </w:rPr>
      </w:pPr>
    </w:p>
    <w:p w14:paraId="2E3BC0D7">
      <w:pPr>
        <w:autoSpaceDE w:val="0"/>
        <w:autoSpaceDN w:val="0"/>
        <w:adjustRightInd w:val="0"/>
        <w:snapToGrid w:val="0"/>
        <w:spacing w:line="360" w:lineRule="auto"/>
        <w:ind w:firstLine="723" w:firstLineChars="200"/>
        <w:jc w:val="left"/>
        <w:rPr>
          <w:rFonts w:ascii="宋体" w:hAnsi="宋体"/>
          <w:b/>
          <w:color w:val="auto"/>
          <w:sz w:val="36"/>
          <w:szCs w:val="36"/>
          <w:highlight w:val="none"/>
        </w:rPr>
      </w:pPr>
    </w:p>
    <w:p w14:paraId="4B29C29D">
      <w:pPr>
        <w:pStyle w:val="13"/>
        <w:jc w:val="center"/>
        <w:rPr>
          <w:rFonts w:hint="eastAsia" w:ascii="宋体" w:hAnsi="宋体" w:eastAsia="宋体"/>
          <w:b/>
          <w:color w:val="auto"/>
          <w:highlight w:val="none"/>
        </w:rPr>
      </w:pPr>
    </w:p>
    <w:p w14:paraId="394451D8">
      <w:pPr>
        <w:pStyle w:val="13"/>
        <w:jc w:val="center"/>
        <w:rPr>
          <w:rFonts w:hint="eastAsia" w:ascii="宋体" w:hAnsi="宋体" w:eastAsia="宋体"/>
          <w:b/>
          <w:color w:val="auto"/>
          <w:highlight w:val="none"/>
        </w:rPr>
      </w:pPr>
    </w:p>
    <w:p w14:paraId="076FD704">
      <w:pPr>
        <w:pStyle w:val="13"/>
        <w:jc w:val="center"/>
        <w:rPr>
          <w:rFonts w:hint="eastAsia" w:ascii="宋体" w:hAnsi="宋体" w:eastAsia="宋体"/>
          <w:b/>
          <w:color w:val="auto"/>
          <w:highlight w:val="none"/>
        </w:rPr>
      </w:pPr>
    </w:p>
    <w:p w14:paraId="2E185EBD">
      <w:pPr>
        <w:pStyle w:val="13"/>
        <w:jc w:val="center"/>
        <w:rPr>
          <w:rFonts w:hint="eastAsia" w:ascii="宋体" w:hAnsi="宋体" w:eastAsia="宋体"/>
          <w:b/>
          <w:color w:val="auto"/>
          <w:highlight w:val="none"/>
        </w:rPr>
      </w:pPr>
    </w:p>
    <w:p w14:paraId="5BA3188A">
      <w:pPr>
        <w:pStyle w:val="13"/>
        <w:jc w:val="center"/>
        <w:outlineLvl w:val="0"/>
        <w:rPr>
          <w:rFonts w:hint="eastAsia" w:ascii="宋体" w:hAnsi="宋体" w:eastAsia="宋体"/>
          <w:b/>
          <w:color w:val="auto"/>
          <w:highlight w:val="none"/>
        </w:rPr>
      </w:pPr>
      <w:r>
        <w:rPr>
          <w:rFonts w:hint="eastAsia" w:ascii="宋体" w:hAnsi="宋体" w:eastAsia="宋体"/>
          <w:b/>
          <w:color w:val="auto"/>
          <w:highlight w:val="none"/>
        </w:rPr>
        <w:br w:type="page"/>
      </w:r>
    </w:p>
    <w:p w14:paraId="04033838">
      <w:pPr>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评分细则</w:t>
      </w:r>
    </w:p>
    <w:tbl>
      <w:tblPr>
        <w:tblStyle w:val="11"/>
        <w:tblW w:w="9483" w:type="dxa"/>
        <w:tblInd w:w="-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39"/>
        <w:gridCol w:w="602"/>
        <w:gridCol w:w="567"/>
        <w:gridCol w:w="1340"/>
        <w:gridCol w:w="1288"/>
        <w:gridCol w:w="5147"/>
      </w:tblGrid>
      <w:tr w14:paraId="6ED3B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64" w:hRule="atLeast"/>
          <w:tblHeader/>
        </w:trPr>
        <w:tc>
          <w:tcPr>
            <w:tcW w:w="539" w:type="dxa"/>
            <w:noWrap w:val="0"/>
            <w:vAlign w:val="center"/>
          </w:tcPr>
          <w:p w14:paraId="66C4A29F">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条款号</w:t>
            </w:r>
          </w:p>
        </w:tc>
        <w:tc>
          <w:tcPr>
            <w:tcW w:w="602" w:type="dxa"/>
            <w:noWrap w:val="0"/>
            <w:vAlign w:val="center"/>
          </w:tcPr>
          <w:p w14:paraId="07EEAFD4">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567" w:type="dxa"/>
            <w:noWrap w:val="0"/>
            <w:vAlign w:val="center"/>
          </w:tcPr>
          <w:p w14:paraId="1536502E">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评分因素权重分值</w:t>
            </w:r>
          </w:p>
        </w:tc>
        <w:tc>
          <w:tcPr>
            <w:tcW w:w="1340" w:type="dxa"/>
            <w:tcBorders>
              <w:right w:val="single" w:color="auto" w:sz="4" w:space="0"/>
            </w:tcBorders>
            <w:noWrap w:val="0"/>
            <w:vAlign w:val="center"/>
          </w:tcPr>
          <w:p w14:paraId="6F694571">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各评分因素细分项</w:t>
            </w:r>
          </w:p>
        </w:tc>
        <w:tc>
          <w:tcPr>
            <w:tcW w:w="1288" w:type="dxa"/>
            <w:tcBorders>
              <w:left w:val="single" w:color="auto" w:sz="4" w:space="0"/>
              <w:right w:val="single" w:color="auto" w:sz="4" w:space="0"/>
            </w:tcBorders>
            <w:noWrap w:val="0"/>
            <w:vAlign w:val="center"/>
          </w:tcPr>
          <w:p w14:paraId="23CC3F43">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分值</w:t>
            </w:r>
          </w:p>
        </w:tc>
        <w:tc>
          <w:tcPr>
            <w:tcW w:w="5147" w:type="dxa"/>
            <w:tcBorders>
              <w:left w:val="single" w:color="auto" w:sz="4" w:space="0"/>
            </w:tcBorders>
            <w:noWrap w:val="0"/>
            <w:vAlign w:val="center"/>
          </w:tcPr>
          <w:p w14:paraId="5FA340C8">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评分标准</w:t>
            </w:r>
          </w:p>
        </w:tc>
      </w:tr>
      <w:tr w14:paraId="44971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10" w:hRule="atLeast"/>
        </w:trPr>
        <w:tc>
          <w:tcPr>
            <w:tcW w:w="539" w:type="dxa"/>
            <w:noWrap w:val="0"/>
            <w:vAlign w:val="center"/>
          </w:tcPr>
          <w:p w14:paraId="5508081A">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2.2.4（1）</w:t>
            </w:r>
          </w:p>
        </w:tc>
        <w:tc>
          <w:tcPr>
            <w:tcW w:w="602" w:type="dxa"/>
            <w:noWrap w:val="0"/>
            <w:vAlign w:val="center"/>
          </w:tcPr>
          <w:p w14:paraId="143C14D2">
            <w:pPr>
              <w:autoSpaceDE w:val="0"/>
              <w:autoSpaceDN w:val="0"/>
              <w:adjustRightInd w:val="0"/>
              <w:snapToGrid w:val="0"/>
              <w:spacing w:line="340" w:lineRule="exact"/>
              <w:ind w:right="60"/>
              <w:jc w:val="center"/>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商务部分</w:t>
            </w:r>
          </w:p>
          <w:p w14:paraId="07935227">
            <w:pPr>
              <w:autoSpaceDE w:val="0"/>
              <w:autoSpaceDN w:val="0"/>
              <w:snapToGrid w:val="0"/>
              <w:spacing w:line="320" w:lineRule="exact"/>
              <w:jc w:val="center"/>
              <w:rPr>
                <w:rFonts w:hint="eastAsia" w:ascii="宋体" w:hAnsi="宋体" w:cs="宋体"/>
                <w:color w:val="auto"/>
                <w:kern w:val="0"/>
                <w:szCs w:val="21"/>
                <w:highlight w:val="none"/>
              </w:rPr>
            </w:pPr>
          </w:p>
        </w:tc>
        <w:tc>
          <w:tcPr>
            <w:tcW w:w="567" w:type="dxa"/>
            <w:noWrap w:val="0"/>
            <w:vAlign w:val="center"/>
          </w:tcPr>
          <w:p w14:paraId="55F2C7B9">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0分</w:t>
            </w:r>
          </w:p>
        </w:tc>
        <w:tc>
          <w:tcPr>
            <w:tcW w:w="1340" w:type="dxa"/>
            <w:tcBorders>
              <w:right w:val="single" w:color="auto" w:sz="4" w:space="0"/>
            </w:tcBorders>
            <w:noWrap w:val="0"/>
            <w:vAlign w:val="center"/>
          </w:tcPr>
          <w:p w14:paraId="286A6A6C">
            <w:pPr>
              <w:jc w:val="center"/>
              <w:rPr>
                <w:rFonts w:hint="eastAsia" w:ascii="宋体" w:hAnsi="宋体" w:cs="宋体"/>
                <w:color w:val="auto"/>
                <w:kern w:val="0"/>
                <w:szCs w:val="21"/>
                <w:highlight w:val="none"/>
              </w:rPr>
            </w:pPr>
            <w:r>
              <w:rPr>
                <w:rFonts w:hint="eastAsia" w:ascii="宋体" w:hAnsi="宋体" w:cs="宋体"/>
                <w:color w:val="auto"/>
                <w:szCs w:val="21"/>
                <w:highlight w:val="none"/>
              </w:rPr>
              <w:t>投标人业绩</w:t>
            </w:r>
          </w:p>
        </w:tc>
        <w:tc>
          <w:tcPr>
            <w:tcW w:w="1288" w:type="dxa"/>
            <w:tcBorders>
              <w:left w:val="single" w:color="auto" w:sz="4" w:space="0"/>
              <w:right w:val="single" w:color="auto" w:sz="4" w:space="0"/>
            </w:tcBorders>
            <w:noWrap w:val="0"/>
            <w:vAlign w:val="center"/>
          </w:tcPr>
          <w:p w14:paraId="327F3B3B">
            <w:pPr>
              <w:autoSpaceDE w:val="0"/>
              <w:autoSpaceDN w:val="0"/>
              <w:snapToGrid w:val="0"/>
              <w:spacing w:line="320" w:lineRule="exact"/>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c>
          <w:tcPr>
            <w:tcW w:w="5147" w:type="dxa"/>
            <w:tcBorders>
              <w:left w:val="single" w:color="auto" w:sz="4" w:space="0"/>
              <w:bottom w:val="single" w:color="auto" w:sz="4" w:space="0"/>
            </w:tcBorders>
            <w:noWrap w:val="0"/>
            <w:vAlign w:val="center"/>
          </w:tcPr>
          <w:p w14:paraId="39195EFC">
            <w:pPr>
              <w:jc w:val="left"/>
              <w:rPr>
                <w:rFonts w:hint="eastAsia" w:ascii="宋体" w:hAnsi="宋体" w:cs="宋体"/>
                <w:color w:val="auto"/>
                <w:szCs w:val="21"/>
                <w:highlight w:val="none"/>
              </w:rPr>
            </w:pPr>
            <w:r>
              <w:rPr>
                <w:rFonts w:hint="eastAsia" w:ascii="宋体" w:hAnsi="宋体" w:cs="宋体"/>
                <w:color w:val="auto"/>
                <w:szCs w:val="21"/>
                <w:highlight w:val="none"/>
              </w:rPr>
              <w:t>满足投标人须知附录2资格审查条件（业绩最低条件）得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p w14:paraId="72DA2057">
            <w:pPr>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每增加一项</w:t>
            </w:r>
            <w:r>
              <w:rPr>
                <w:rFonts w:hint="eastAsia" w:ascii="宋体" w:hAnsi="宋体" w:cs="宋体"/>
                <w:color w:val="auto"/>
                <w:szCs w:val="21"/>
                <w:highlight w:val="none"/>
              </w:rPr>
              <w:t>满足投标人须知附录2资格审查条件（业绩最低条件）</w:t>
            </w:r>
            <w:r>
              <w:rPr>
                <w:rFonts w:hint="eastAsia" w:ascii="宋体" w:hAnsi="宋体" w:cs="宋体"/>
                <w:color w:val="auto"/>
                <w:szCs w:val="21"/>
                <w:highlight w:val="none"/>
                <w:lang w:val="en-US" w:eastAsia="zh-CN"/>
              </w:rPr>
              <w:t>得业绩</w:t>
            </w:r>
            <w:r>
              <w:rPr>
                <w:rFonts w:hint="eastAsia" w:ascii="宋体" w:hAnsi="宋体" w:cs="宋体"/>
                <w:color w:val="auto"/>
                <w:szCs w:val="21"/>
                <w:highlight w:val="none"/>
              </w:rPr>
              <w:t>加</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分，最高</w:t>
            </w:r>
            <w:r>
              <w:rPr>
                <w:rFonts w:hint="eastAsia" w:ascii="宋体" w:hAnsi="宋体" w:cs="宋体"/>
                <w:color w:val="auto"/>
                <w:szCs w:val="21"/>
                <w:highlight w:val="none"/>
                <w:lang w:val="en-US" w:eastAsia="zh-CN"/>
              </w:rPr>
              <w:t>加4</w:t>
            </w:r>
            <w:r>
              <w:rPr>
                <w:rFonts w:hint="eastAsia" w:ascii="宋体" w:hAnsi="宋体" w:cs="宋体"/>
                <w:color w:val="auto"/>
                <w:szCs w:val="21"/>
                <w:highlight w:val="none"/>
              </w:rPr>
              <w:t>分。</w:t>
            </w:r>
          </w:p>
        </w:tc>
      </w:tr>
      <w:tr w14:paraId="0D860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39" w:type="dxa"/>
            <w:vMerge w:val="restart"/>
            <w:noWrap w:val="0"/>
            <w:vAlign w:val="center"/>
          </w:tcPr>
          <w:p w14:paraId="78BFAB46">
            <w:pPr>
              <w:autoSpaceDE w:val="0"/>
              <w:autoSpaceDN w:val="0"/>
              <w:snapToGrid w:val="0"/>
              <w:spacing w:line="320" w:lineRule="exac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lang w:eastAsia="zh-CN"/>
              </w:rPr>
              <w:t>）</w:t>
            </w:r>
          </w:p>
        </w:tc>
        <w:tc>
          <w:tcPr>
            <w:tcW w:w="602" w:type="dxa"/>
            <w:vMerge w:val="restart"/>
            <w:noWrap w:val="0"/>
            <w:vAlign w:val="center"/>
          </w:tcPr>
          <w:p w14:paraId="68E830C3">
            <w:pPr>
              <w:autoSpaceDE w:val="0"/>
              <w:autoSpaceDN w:val="0"/>
              <w:adjustRightInd w:val="0"/>
              <w:snapToGrid w:val="0"/>
              <w:spacing w:line="340" w:lineRule="exact"/>
              <w:ind w:right="60"/>
              <w:jc w:val="center"/>
              <w:rPr>
                <w:rFonts w:hint="default" w:ascii="宋体" w:hAnsi="宋体" w:eastAsia="宋体" w:cs="宋体"/>
                <w:color w:val="auto"/>
                <w:kern w:val="0"/>
                <w:szCs w:val="21"/>
                <w:highlight w:val="none"/>
                <w:lang w:val="en-US" w:eastAsia="zh-CN"/>
              </w:rPr>
            </w:pPr>
            <w:r>
              <w:rPr>
                <w:rFonts w:hint="eastAsia" w:ascii="宋体" w:hAnsi="宋体" w:cs="微软雅黑"/>
                <w:color w:val="auto"/>
                <w:kern w:val="0"/>
                <w:szCs w:val="21"/>
                <w:highlight w:val="none"/>
                <w:lang w:val="en-US" w:eastAsia="zh-CN"/>
              </w:rPr>
              <w:t>技术部分</w:t>
            </w:r>
          </w:p>
        </w:tc>
        <w:tc>
          <w:tcPr>
            <w:tcW w:w="567" w:type="dxa"/>
            <w:vMerge w:val="restart"/>
            <w:noWrap w:val="0"/>
            <w:vAlign w:val="center"/>
          </w:tcPr>
          <w:p w14:paraId="3F9A27DA">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0分</w:t>
            </w:r>
          </w:p>
        </w:tc>
        <w:tc>
          <w:tcPr>
            <w:tcW w:w="1340" w:type="dxa"/>
            <w:vMerge w:val="restart"/>
            <w:tcBorders>
              <w:right w:val="single" w:color="auto" w:sz="4" w:space="0"/>
            </w:tcBorders>
            <w:noWrap w:val="0"/>
            <w:vAlign w:val="center"/>
          </w:tcPr>
          <w:p w14:paraId="48BFEA9D">
            <w:pPr>
              <w:jc w:val="center"/>
              <w:rPr>
                <w:rFonts w:hint="eastAsia" w:ascii="宋体" w:hAnsi="宋体" w:cs="宋体"/>
                <w:color w:val="auto"/>
                <w:szCs w:val="21"/>
                <w:highlight w:val="none"/>
              </w:rPr>
            </w:pPr>
            <w:r>
              <w:rPr>
                <w:rFonts w:hint="eastAsia" w:ascii="宋体" w:hAnsi="宋体" w:cs="宋体"/>
                <w:color w:val="auto"/>
                <w:szCs w:val="21"/>
                <w:highlight w:val="none"/>
              </w:rPr>
              <w:t>总体服务方案</w:t>
            </w:r>
          </w:p>
        </w:tc>
        <w:tc>
          <w:tcPr>
            <w:tcW w:w="1288" w:type="dxa"/>
            <w:vMerge w:val="restart"/>
            <w:tcBorders>
              <w:left w:val="single" w:color="auto" w:sz="4" w:space="0"/>
              <w:right w:val="single" w:color="auto" w:sz="4" w:space="0"/>
            </w:tcBorders>
            <w:noWrap w:val="0"/>
            <w:vAlign w:val="center"/>
          </w:tcPr>
          <w:p w14:paraId="550992FA">
            <w:pPr>
              <w:autoSpaceDE w:val="0"/>
              <w:autoSpaceDN w:val="0"/>
              <w:snapToGrid w:val="0"/>
              <w:spacing w:line="32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15</w:t>
            </w:r>
          </w:p>
        </w:tc>
        <w:tc>
          <w:tcPr>
            <w:tcW w:w="5147" w:type="dxa"/>
            <w:tcBorders>
              <w:top w:val="single" w:color="auto" w:sz="4" w:space="0"/>
              <w:left w:val="single" w:color="auto" w:sz="4" w:space="0"/>
            </w:tcBorders>
            <w:noWrap w:val="0"/>
            <w:vAlign w:val="center"/>
          </w:tcPr>
          <w:p w14:paraId="1F7A823C">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科学合理，得</w:t>
            </w:r>
            <w:r>
              <w:rPr>
                <w:rFonts w:hint="eastAsia" w:ascii="宋体" w:hAnsi="宋体" w:cs="宋体"/>
                <w:color w:val="auto"/>
                <w:szCs w:val="21"/>
                <w:highlight w:val="none"/>
                <w:lang w:val="en-US" w:eastAsia="zh-CN"/>
              </w:rPr>
              <w:t>13.1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分；</w:t>
            </w:r>
          </w:p>
        </w:tc>
      </w:tr>
      <w:tr w14:paraId="10B14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02" w:hRule="atLeast"/>
        </w:trPr>
        <w:tc>
          <w:tcPr>
            <w:tcW w:w="539" w:type="dxa"/>
            <w:vMerge w:val="continue"/>
            <w:noWrap w:val="0"/>
            <w:vAlign w:val="center"/>
          </w:tcPr>
          <w:p w14:paraId="4108D8CE">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A87C4F1">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60FEAD3B">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0212CF9E">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6BBF9258">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6EF20A9C">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较合理，得</w:t>
            </w:r>
            <w:r>
              <w:rPr>
                <w:rFonts w:hint="eastAsia" w:ascii="宋体" w:hAnsi="宋体" w:cs="宋体"/>
                <w:color w:val="auto"/>
                <w:szCs w:val="21"/>
                <w:highlight w:val="none"/>
                <w:lang w:val="en-US" w:eastAsia="zh-CN"/>
              </w:rPr>
              <w:t>9.1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分；</w:t>
            </w:r>
          </w:p>
        </w:tc>
      </w:tr>
      <w:tr w14:paraId="01DE3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3" w:hRule="atLeast"/>
        </w:trPr>
        <w:tc>
          <w:tcPr>
            <w:tcW w:w="539" w:type="dxa"/>
            <w:vMerge w:val="continue"/>
            <w:noWrap w:val="0"/>
            <w:vAlign w:val="center"/>
          </w:tcPr>
          <w:p w14:paraId="63346C2E">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4E147A2">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114B3EAC">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3C81738D">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3DF4B305">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6B54DB11">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基本合理，得</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r>
      <w:tr w14:paraId="38221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8" w:hRule="atLeast"/>
        </w:trPr>
        <w:tc>
          <w:tcPr>
            <w:tcW w:w="539" w:type="dxa"/>
            <w:vMerge w:val="continue"/>
            <w:noWrap w:val="0"/>
            <w:vAlign w:val="center"/>
          </w:tcPr>
          <w:p w14:paraId="0D576B65">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F2F9F51">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FB9CB7C">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3927EFCB">
            <w:pPr>
              <w:spacing w:line="320" w:lineRule="exact"/>
              <w:jc w:val="center"/>
              <w:rPr>
                <w:rFonts w:hint="eastAsia" w:ascii="宋体" w:hAnsi="宋体" w:cs="宋体"/>
                <w:color w:val="auto"/>
                <w:szCs w:val="21"/>
                <w:highlight w:val="none"/>
              </w:rPr>
            </w:pPr>
            <w:r>
              <w:rPr>
                <w:rFonts w:hint="eastAsia" w:ascii="宋体" w:hAnsi="宋体"/>
                <w:color w:val="auto"/>
                <w:szCs w:val="21"/>
                <w:highlight w:val="none"/>
              </w:rPr>
              <w:t>管理理念、方式和制度</w:t>
            </w:r>
          </w:p>
        </w:tc>
        <w:tc>
          <w:tcPr>
            <w:tcW w:w="1288" w:type="dxa"/>
            <w:vMerge w:val="restart"/>
            <w:tcBorders>
              <w:left w:val="single" w:color="auto" w:sz="4" w:space="0"/>
              <w:right w:val="single" w:color="auto" w:sz="4" w:space="0"/>
            </w:tcBorders>
            <w:noWrap w:val="0"/>
            <w:vAlign w:val="center"/>
          </w:tcPr>
          <w:p w14:paraId="3FCF7725">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bCs/>
                <w:iCs/>
                <w:color w:val="auto"/>
                <w:kern w:val="0"/>
                <w:szCs w:val="21"/>
                <w:highlight w:val="none"/>
                <w:lang w:val="en-US" w:eastAsia="zh-CN"/>
              </w:rPr>
              <w:t>10</w:t>
            </w:r>
          </w:p>
        </w:tc>
        <w:tc>
          <w:tcPr>
            <w:tcW w:w="5147" w:type="dxa"/>
            <w:tcBorders>
              <w:top w:val="single" w:color="auto" w:sz="4" w:space="0"/>
              <w:left w:val="single" w:color="auto" w:sz="4" w:space="0"/>
            </w:tcBorders>
            <w:noWrap w:val="0"/>
            <w:vAlign w:val="center"/>
          </w:tcPr>
          <w:p w14:paraId="18F9390D">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目标明确、方式合理、制度详细，得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0EFFD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2" w:hRule="atLeast"/>
        </w:trPr>
        <w:tc>
          <w:tcPr>
            <w:tcW w:w="539" w:type="dxa"/>
            <w:vMerge w:val="continue"/>
            <w:noWrap w:val="0"/>
            <w:vAlign w:val="center"/>
          </w:tcPr>
          <w:p w14:paraId="12F81871">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0548AF4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78223067">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76BC6A96">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3219AB98">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76ABB062">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较明确、较合理、较详细，得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42DF0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64008620">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460E21B">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132F4864">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6EDB1047">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2B2DF3E2">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7944D360">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基本明确、基本合理、基本详细，得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5B12F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atLeast"/>
        </w:trPr>
        <w:tc>
          <w:tcPr>
            <w:tcW w:w="539" w:type="dxa"/>
            <w:vMerge w:val="continue"/>
            <w:noWrap w:val="0"/>
            <w:vAlign w:val="center"/>
          </w:tcPr>
          <w:p w14:paraId="704128F3">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A593925">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348A3505">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0409067F">
            <w:pPr>
              <w:jc w:val="center"/>
              <w:rPr>
                <w:rFonts w:hint="eastAsia" w:ascii="宋体" w:hAnsi="宋体" w:cs="宋体"/>
                <w:color w:val="auto"/>
                <w:szCs w:val="21"/>
                <w:highlight w:val="none"/>
              </w:rPr>
            </w:pPr>
            <w:r>
              <w:rPr>
                <w:rFonts w:hint="eastAsia" w:ascii="宋体" w:hAnsi="宋体" w:cs="宋体"/>
                <w:color w:val="auto"/>
                <w:szCs w:val="21"/>
                <w:highlight w:val="none"/>
              </w:rPr>
              <w:t>人员的配备及培训</w:t>
            </w:r>
          </w:p>
        </w:tc>
        <w:tc>
          <w:tcPr>
            <w:tcW w:w="1288" w:type="dxa"/>
            <w:vMerge w:val="restart"/>
            <w:tcBorders>
              <w:left w:val="single" w:color="auto" w:sz="4" w:space="0"/>
              <w:right w:val="single" w:color="auto" w:sz="4" w:space="0"/>
            </w:tcBorders>
            <w:noWrap w:val="0"/>
            <w:vAlign w:val="center"/>
          </w:tcPr>
          <w:p w14:paraId="2CA04A8A">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10</w:t>
            </w:r>
          </w:p>
        </w:tc>
        <w:tc>
          <w:tcPr>
            <w:tcW w:w="5147" w:type="dxa"/>
            <w:tcBorders>
              <w:top w:val="single" w:color="auto" w:sz="4" w:space="0"/>
              <w:left w:val="single" w:color="auto" w:sz="4" w:space="0"/>
            </w:tcBorders>
            <w:noWrap w:val="0"/>
            <w:vAlign w:val="top"/>
          </w:tcPr>
          <w:p w14:paraId="527A6ACD">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配备齐全完整、素质高，培训内容丰富，得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67481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0" w:hRule="atLeast"/>
        </w:trPr>
        <w:tc>
          <w:tcPr>
            <w:tcW w:w="539" w:type="dxa"/>
            <w:vMerge w:val="continue"/>
            <w:noWrap w:val="0"/>
            <w:vAlign w:val="center"/>
          </w:tcPr>
          <w:p w14:paraId="152BE14A">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2A0DBCC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DA1482A">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59B03A0C">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6EF9A5E2">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385A6528">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配备较齐全、素质较高，培训内容较丰富，得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44062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46B8E5B5">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2A3D68FD">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B5D5ACB">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75A8FF77">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197D8370">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55263B0A">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配备基本齐全、素质一般，培训内容一般，得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6F42B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12" w:hRule="atLeast"/>
        </w:trPr>
        <w:tc>
          <w:tcPr>
            <w:tcW w:w="539" w:type="dxa"/>
            <w:vMerge w:val="continue"/>
            <w:noWrap w:val="0"/>
            <w:vAlign w:val="center"/>
          </w:tcPr>
          <w:p w14:paraId="159AC318">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00FEE54F">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0CE5DEA">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2274E15D">
            <w:pPr>
              <w:jc w:val="center"/>
              <w:rPr>
                <w:rFonts w:hint="eastAsia" w:ascii="宋体" w:hAnsi="宋体" w:cs="宋体"/>
                <w:color w:val="auto"/>
                <w:szCs w:val="21"/>
                <w:highlight w:val="none"/>
              </w:rPr>
            </w:pPr>
            <w:r>
              <w:rPr>
                <w:rFonts w:hint="eastAsia" w:ascii="宋体" w:hAnsi="宋体" w:cs="宋体"/>
                <w:color w:val="auto"/>
                <w:szCs w:val="21"/>
                <w:highlight w:val="none"/>
              </w:rPr>
              <w:t>服务质量保证措施</w:t>
            </w:r>
          </w:p>
        </w:tc>
        <w:tc>
          <w:tcPr>
            <w:tcW w:w="1288" w:type="dxa"/>
            <w:vMerge w:val="restart"/>
            <w:tcBorders>
              <w:left w:val="single" w:color="auto" w:sz="4" w:space="0"/>
              <w:right w:val="single" w:color="auto" w:sz="4" w:space="0"/>
            </w:tcBorders>
            <w:noWrap w:val="0"/>
            <w:vAlign w:val="center"/>
          </w:tcPr>
          <w:p w14:paraId="5098F1CB">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5</w:t>
            </w:r>
          </w:p>
        </w:tc>
        <w:tc>
          <w:tcPr>
            <w:tcW w:w="5147" w:type="dxa"/>
            <w:tcBorders>
              <w:top w:val="single" w:color="auto" w:sz="4" w:space="0"/>
              <w:left w:val="single" w:color="auto" w:sz="4" w:space="0"/>
            </w:tcBorders>
            <w:noWrap w:val="0"/>
            <w:vAlign w:val="center"/>
          </w:tcPr>
          <w:p w14:paraId="31FA196B">
            <w:pPr>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措施合理；得</w:t>
            </w:r>
            <w:r>
              <w:rPr>
                <w:rFonts w:hint="eastAsia" w:ascii="宋体" w:hAnsi="宋体" w:cs="宋体"/>
                <w:color w:val="auto"/>
                <w:szCs w:val="21"/>
                <w:highlight w:val="none"/>
                <w:lang w:val="en-US" w:eastAsia="zh-CN"/>
              </w:rPr>
              <w:t>4.1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tc>
      </w:tr>
      <w:tr w14:paraId="6C604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70" w:hRule="atLeast"/>
        </w:trPr>
        <w:tc>
          <w:tcPr>
            <w:tcW w:w="539" w:type="dxa"/>
            <w:vMerge w:val="continue"/>
            <w:noWrap w:val="0"/>
            <w:vAlign w:val="center"/>
          </w:tcPr>
          <w:p w14:paraId="2AA5044F">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0D0A06D8">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179D47F5">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043C38A5">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top"/>
          </w:tcPr>
          <w:p w14:paraId="31BA91C5">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120D7B80">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措施较合理；得</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tc>
      </w:tr>
      <w:tr w14:paraId="725BA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3" w:hRule="atLeast"/>
        </w:trPr>
        <w:tc>
          <w:tcPr>
            <w:tcW w:w="539" w:type="dxa"/>
            <w:vMerge w:val="continue"/>
            <w:noWrap w:val="0"/>
            <w:vAlign w:val="center"/>
          </w:tcPr>
          <w:p w14:paraId="1CDB13A8">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1EDFE647">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79E7505F">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563D1A08">
            <w:pPr>
              <w:autoSpaceDE w:val="0"/>
              <w:autoSpaceDN w:val="0"/>
              <w:adjustRightInd w:val="0"/>
              <w:snapToGrid w:val="0"/>
              <w:spacing w:line="320" w:lineRule="exact"/>
              <w:ind w:left="37" w:leftChars="0" w:right="17" w:rightChars="0"/>
              <w:jc w:val="center"/>
              <w:rPr>
                <w:rFonts w:hint="eastAsia" w:ascii="宋体" w:hAnsi="宋体" w:eastAsia="宋体" w:cs="宋体"/>
                <w:color w:val="auto"/>
                <w:szCs w:val="21"/>
                <w:highlight w:val="none"/>
                <w:lang w:val="en-US" w:eastAsia="zh-CN"/>
              </w:rPr>
            </w:pPr>
          </w:p>
        </w:tc>
        <w:tc>
          <w:tcPr>
            <w:tcW w:w="1288" w:type="dxa"/>
            <w:vMerge w:val="continue"/>
            <w:tcBorders>
              <w:left w:val="single" w:color="auto" w:sz="4" w:space="0"/>
              <w:right w:val="single" w:color="auto" w:sz="4" w:space="0"/>
            </w:tcBorders>
            <w:noWrap w:val="0"/>
            <w:vAlign w:val="top"/>
          </w:tcPr>
          <w:p w14:paraId="1D83EBB9">
            <w:pPr>
              <w:widowControl/>
              <w:snapToGrid w:val="0"/>
              <w:spacing w:line="320" w:lineRule="exact"/>
              <w:jc w:val="center"/>
              <w:textAlignment w:val="top"/>
              <w:rPr>
                <w:rFonts w:hint="default" w:ascii="宋体" w:hAnsi="宋体" w:eastAsia="宋体" w:cs="宋体"/>
                <w:color w:val="auto"/>
                <w:szCs w:val="21"/>
                <w:highlight w:val="none"/>
                <w:lang w:val="en-US" w:eastAsia="zh-CN"/>
              </w:rPr>
            </w:pPr>
          </w:p>
        </w:tc>
        <w:tc>
          <w:tcPr>
            <w:tcW w:w="5147" w:type="dxa"/>
            <w:tcBorders>
              <w:top w:val="single" w:color="auto" w:sz="4" w:space="0"/>
              <w:left w:val="single" w:color="auto" w:sz="4" w:space="0"/>
            </w:tcBorders>
            <w:noWrap w:val="0"/>
            <w:vAlign w:val="center"/>
          </w:tcPr>
          <w:p w14:paraId="2F4F1D5F">
            <w:pPr>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rPr>
              <w:t>措施基本合理；得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tc>
      </w:tr>
      <w:tr w14:paraId="7C21F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247" w:hRule="atLeast"/>
        </w:trPr>
        <w:tc>
          <w:tcPr>
            <w:tcW w:w="539" w:type="dxa"/>
            <w:noWrap w:val="0"/>
            <w:vAlign w:val="center"/>
          </w:tcPr>
          <w:p w14:paraId="212BA8EA">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w:t>
            </w:r>
          </w:p>
        </w:tc>
        <w:tc>
          <w:tcPr>
            <w:tcW w:w="602" w:type="dxa"/>
            <w:noWrap w:val="0"/>
            <w:vAlign w:val="center"/>
          </w:tcPr>
          <w:p w14:paraId="588375EA">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评标价</w:t>
            </w:r>
          </w:p>
        </w:tc>
        <w:tc>
          <w:tcPr>
            <w:tcW w:w="567" w:type="dxa"/>
            <w:noWrap w:val="0"/>
            <w:vAlign w:val="center"/>
          </w:tcPr>
          <w:p w14:paraId="1E6AED03">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0分</w:t>
            </w:r>
          </w:p>
        </w:tc>
        <w:tc>
          <w:tcPr>
            <w:tcW w:w="7775" w:type="dxa"/>
            <w:gridSpan w:val="3"/>
            <w:tcBorders>
              <w:top w:val="single" w:color="auto" w:sz="4" w:space="0"/>
            </w:tcBorders>
            <w:noWrap w:val="0"/>
            <w:vAlign w:val="center"/>
          </w:tcPr>
          <w:p w14:paraId="058685BE">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评标价得分计算公式示例：</w:t>
            </w:r>
          </w:p>
          <w:p w14:paraId="3B5614AF">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（1）如果投标人的评标价＞评标基准价，则评标价得分=F-（投标人投标价-评标基准价）/评标基准价×100×E1</w:t>
            </w:r>
          </w:p>
          <w:p w14:paraId="19DF68F2">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（2）如果投标人的评标价≤评标基准价，则评标价得分=F+(投标人投标价-评标基准价)/评标基准价×100×E2</w:t>
            </w:r>
          </w:p>
          <w:p w14:paraId="4B2C8859">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其中，F=</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0；E1=0.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；E2=0.</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；评标价最低得分为0分</w:t>
            </w:r>
          </w:p>
          <w:p w14:paraId="76E04517">
            <w:pPr>
              <w:pStyle w:val="6"/>
              <w:snapToGrid w:val="0"/>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评标价得分分值计算保留小数点后两位，小数点后第三位“四舍五入”。</w:t>
            </w:r>
          </w:p>
        </w:tc>
      </w:tr>
    </w:tbl>
    <w:p w14:paraId="36B729AA">
      <w:pPr>
        <w:spacing w:before="21"/>
        <w:rPr>
          <w:rFonts w:hint="eastAsia" w:ascii="宋体" w:hAnsi="宋体" w:eastAsia="宋体" w:cs="宋体"/>
          <w:color w:val="auto"/>
          <w:sz w:val="21"/>
          <w:highlight w:val="none"/>
        </w:rPr>
      </w:pPr>
    </w:p>
    <w:p w14:paraId="0C9BE3A2">
      <w:pPr>
        <w:spacing w:before="21"/>
        <w:rPr>
          <w:rFonts w:hint="eastAsia" w:ascii="宋体" w:hAnsi="宋体" w:eastAsia="宋体" w:cs="宋体"/>
          <w:color w:val="auto"/>
          <w:sz w:val="21"/>
          <w:highlight w:val="none"/>
        </w:rPr>
      </w:pPr>
      <w:r>
        <w:rPr>
          <w:rFonts w:hint="eastAsia" w:ascii="宋体" w:hAnsi="宋体" w:eastAsia="宋体" w:cs="宋体"/>
          <w:color w:val="auto"/>
          <w:sz w:val="21"/>
          <w:highlight w:val="none"/>
        </w:rPr>
        <w:t>注：1、评委打分保留一位小数</w:t>
      </w:r>
      <w:r>
        <w:rPr>
          <w:rFonts w:hint="eastAsia" w:ascii="宋体" w:hAnsi="宋体" w:eastAsia="宋体" w:cs="宋体"/>
          <w:color w:val="auto"/>
          <w:sz w:val="21"/>
          <w:highlight w:val="none"/>
          <w:lang w:eastAsia="zh-CN"/>
        </w:rPr>
        <w:t>，技术建议书评审因素细分项缺项则该项得0分</w:t>
      </w:r>
      <w:r>
        <w:rPr>
          <w:rFonts w:hint="eastAsia" w:ascii="宋体" w:hAnsi="宋体" w:eastAsia="宋体" w:cs="宋体"/>
          <w:color w:val="auto"/>
          <w:sz w:val="21"/>
          <w:highlight w:val="none"/>
        </w:rPr>
        <w:t>。</w:t>
      </w:r>
    </w:p>
    <w:p w14:paraId="32AC40E4">
      <w:pPr>
        <w:rPr>
          <w:color w:val="auto"/>
        </w:rPr>
      </w:pPr>
      <w:r>
        <w:rPr>
          <w:rFonts w:hint="eastAsia" w:ascii="宋体" w:hAnsi="宋体" w:eastAsia="宋体" w:cs="宋体"/>
          <w:color w:val="auto"/>
          <w:sz w:val="21"/>
          <w:highlight w:val="none"/>
        </w:rPr>
        <w:t>2、各评分因素得分应以评标委员会各成员的打分平均值确定，评</w:t>
      </w:r>
      <w:r>
        <w:rPr>
          <w:rFonts w:hint="eastAsia" w:ascii="宋体" w:hAnsi="宋体" w:eastAsia="宋体" w:cs="宋体"/>
          <w:color w:val="auto"/>
          <w:sz w:val="21"/>
          <w:highlight w:val="none"/>
          <w:lang w:val="en-US" w:eastAsia="zh-CN"/>
        </w:rPr>
        <w:t>标</w:t>
      </w:r>
      <w:r>
        <w:rPr>
          <w:rFonts w:hint="eastAsia" w:ascii="宋体" w:hAnsi="宋体" w:eastAsia="宋体" w:cs="宋体"/>
          <w:color w:val="auto"/>
          <w:sz w:val="21"/>
          <w:highlight w:val="none"/>
        </w:rPr>
        <w:t>汇总得分保留 2 位小数。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roman"/>
    <w:pitch w:val="default"/>
    <w:sig w:usb0="E0002EFF" w:usb1="C000785B" w:usb2="00000009" w:usb3="00000000" w:csb0="400001FF" w:csb1="FFFF0000"/>
  </w:font>
  <w:font w:name="宋体">
    <w:panose1 w:val="02010600030101010101"/>
    <w:charset w:val="CC"/>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5B33E9"/>
    <w:rsid w:val="26AB7964"/>
    <w:rsid w:val="40D55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2" w:lineRule="auto"/>
      <w:outlineLvl w:val="2"/>
    </w:pPr>
    <w:rPr>
      <w:b/>
      <w:bCs/>
      <w:kern w:val="2"/>
      <w:sz w:val="32"/>
      <w:szCs w:val="32"/>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3">
    <w:name w:val="table of authorities"/>
    <w:basedOn w:val="1"/>
    <w:next w:val="1"/>
    <w:qFormat/>
    <w:uiPriority w:val="0"/>
    <w:pPr>
      <w:ind w:left="200" w:leftChars="200"/>
    </w:pPr>
  </w:style>
  <w:style w:type="paragraph" w:styleId="4">
    <w:name w:val="Normal Indent"/>
    <w:basedOn w:val="1"/>
    <w:qFormat/>
    <w:uiPriority w:val="0"/>
    <w:pPr>
      <w:ind w:firstLine="200" w:firstLineChars="200"/>
    </w:pPr>
  </w:style>
  <w:style w:type="paragraph" w:styleId="5">
    <w:name w:val="annotation text"/>
    <w:basedOn w:val="1"/>
    <w:next w:val="3"/>
    <w:qFormat/>
    <w:uiPriority w:val="0"/>
    <w:pPr>
      <w:jc w:val="left"/>
    </w:pPr>
    <w:rPr>
      <w:rFonts w:ascii="宋体"/>
      <w:color w:val="0000FF"/>
      <w:sz w:val="24"/>
    </w:rPr>
  </w:style>
  <w:style w:type="paragraph" w:styleId="6">
    <w:name w:val="Body Text"/>
    <w:basedOn w:val="1"/>
    <w:next w:val="7"/>
    <w:uiPriority w:val="0"/>
    <w:pPr>
      <w:spacing w:after="120"/>
    </w:pPr>
    <w:rPr>
      <w:kern w:val="2"/>
      <w:sz w:val="21"/>
      <w:szCs w:val="24"/>
    </w:rPr>
  </w:style>
  <w:style w:type="paragraph" w:styleId="7">
    <w:name w:val="Body Text 2"/>
    <w:basedOn w:val="1"/>
    <w:qFormat/>
    <w:uiPriority w:val="0"/>
    <w:pPr>
      <w:spacing w:line="540" w:lineRule="exact"/>
    </w:pPr>
    <w:rPr>
      <w:color w:val="FF0000"/>
      <w:kern w:val="2"/>
      <w:sz w:val="21"/>
      <w:szCs w:val="24"/>
    </w:rPr>
  </w:style>
  <w:style w:type="paragraph" w:styleId="8">
    <w:name w:val="Body Text Indent"/>
    <w:basedOn w:val="1"/>
    <w:next w:val="4"/>
    <w:qFormat/>
    <w:uiPriority w:val="0"/>
    <w:pPr>
      <w:spacing w:line="360" w:lineRule="auto"/>
      <w:ind w:firstLine="480"/>
    </w:pPr>
    <w:rPr>
      <w:sz w:val="24"/>
      <w:szCs w:val="20"/>
    </w:rPr>
  </w:style>
  <w:style w:type="paragraph" w:styleId="9">
    <w:name w:val="Plain Text"/>
    <w:basedOn w:val="1"/>
    <w:next w:val="6"/>
    <w:qFormat/>
    <w:uiPriority w:val="99"/>
    <w:rPr>
      <w:rFonts w:ascii="宋体"/>
      <w:szCs w:val="21"/>
    </w:rPr>
  </w:style>
  <w:style w:type="paragraph" w:styleId="10">
    <w:name w:val="Body Text First Indent 2"/>
    <w:basedOn w:val="8"/>
    <w:next w:val="5"/>
    <w:qFormat/>
    <w:uiPriority w:val="0"/>
    <w:pPr>
      <w:ind w:firstLine="420" w:firstLineChars="200"/>
    </w:pPr>
  </w:style>
  <w:style w:type="paragraph" w:customStyle="1" w:styleId="13">
    <w:name w:val="目录1"/>
    <w:basedOn w:val="1"/>
    <w:uiPriority w:val="0"/>
    <w:rPr>
      <w:rFonts w:ascii="黑体" w:eastAsia="黑体"/>
      <w:sz w:val="52"/>
      <w:szCs w:val="5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3304</Words>
  <Characters>3501</Characters>
  <Lines>0</Lines>
  <Paragraphs>0</Paragraphs>
  <TotalTime>0</TotalTime>
  <ScaleCrop>false</ScaleCrop>
  <LinksUpToDate>false</LinksUpToDate>
  <CharactersWithSpaces>3528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2026-10-28T11:05:00Z</dcterms:created>
  <dc:creator>0</dc:creator>
  <cp:lastModifiedBy>0</cp:lastModifiedBy>
  <dcterms:modified xsi:type="dcterms:W3CDTF">2026-10-29T03:41:29Z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eyJoZGlkIjoiMGI0YzFkYjhmMTY0NzdmMzQ5OThkN2NjYjk3ODZjYTciLCJ1c2VySWQiOiI1NjM2MjgxOTEifQ==</vt:lpwstr>
  </property>
  <property fmtid="{D5CDD505-2E9C-101B-9397-08002B2CF9AE}" pid="4" name="ICV">
    <vt:lpwstr>8F11892341494331AC023C7549B73ABF_12</vt:lpwstr>
  </property>
</Properties>
</file>